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73B2" w:rsidRDefault="005A73B2"/>
    <w:tbl>
      <w:tblPr>
        <w:tblW w:w="1044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5220"/>
        <w:gridCol w:w="5220"/>
      </w:tblGrid>
      <w:tr w:rsidR="00E877FB" w:rsidTr="00E626AF">
        <w:trPr>
          <w:cantSplit/>
          <w:trHeight w:val="905"/>
        </w:trPr>
        <w:tc>
          <w:tcPr>
            <w:tcW w:w="5220" w:type="dxa"/>
          </w:tcPr>
          <w:p w:rsidR="00E877FB" w:rsidRDefault="00E877FB">
            <w:pPr>
              <w:jc w:val="both"/>
            </w:pPr>
          </w:p>
        </w:tc>
        <w:tc>
          <w:tcPr>
            <w:tcW w:w="5220" w:type="dxa"/>
            <w:vMerge w:val="restart"/>
          </w:tcPr>
          <w:p w:rsidR="00E877FB" w:rsidRDefault="00E877FB"/>
          <w:p w:rsidR="00E877FB" w:rsidRDefault="00E877FB">
            <w:pPr>
              <w:spacing w:after="180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Department of </w:t>
            </w:r>
            <w:r w:rsidR="00B9602C">
              <w:rPr>
                <w:b/>
                <w:sz w:val="26"/>
              </w:rPr>
              <w:t>Regeneration</w:t>
            </w:r>
            <w:r w:rsidR="00E626AF">
              <w:rPr>
                <w:b/>
                <w:sz w:val="26"/>
              </w:rPr>
              <w:t xml:space="preserve"> &amp; Culture</w:t>
            </w:r>
          </w:p>
          <w:p w:rsidR="00B9602C" w:rsidRPr="00B9602C" w:rsidRDefault="001B32AB">
            <w:pPr>
              <w:rPr>
                <w:b/>
              </w:rPr>
            </w:pPr>
            <w:r>
              <w:rPr>
                <w:b/>
              </w:rPr>
              <w:t>Property and Estates</w:t>
            </w:r>
          </w:p>
          <w:p w:rsidR="001B32AB" w:rsidRDefault="00391121">
            <w:r>
              <w:t>1st</w:t>
            </w:r>
            <w:r w:rsidR="00E877FB">
              <w:t xml:space="preserve"> Floor, </w:t>
            </w:r>
            <w:r w:rsidR="001B32AB">
              <w:t>Argus Chambers,</w:t>
            </w:r>
          </w:p>
          <w:p w:rsidR="00E877FB" w:rsidRDefault="001B32AB">
            <w:r>
              <w:t>Britannia House</w:t>
            </w:r>
            <w:r w:rsidR="00E877FB">
              <w:t>, Bradford</w:t>
            </w:r>
          </w:p>
          <w:p w:rsidR="00E877FB" w:rsidRDefault="00E877FB">
            <w:r>
              <w:t>West Yorkshire</w:t>
            </w:r>
          </w:p>
          <w:p w:rsidR="00E877FB" w:rsidRDefault="00E626AF">
            <w:r>
              <w:t>BD1 5</w:t>
            </w:r>
            <w:r w:rsidR="001B32AB">
              <w:t>HX</w:t>
            </w:r>
          </w:p>
          <w:p w:rsidR="00E877FB" w:rsidRDefault="00E877FB">
            <w:pPr>
              <w:rPr>
                <w:sz w:val="20"/>
              </w:rPr>
            </w:pPr>
          </w:p>
          <w:p w:rsidR="00E877FB" w:rsidRDefault="00E877FB">
            <w:pPr>
              <w:tabs>
                <w:tab w:val="left" w:pos="-1440"/>
                <w:tab w:val="left" w:pos="-720"/>
                <w:tab w:val="left" w:pos="0"/>
                <w:tab w:val="left" w:pos="612"/>
                <w:tab w:val="left" w:pos="9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left="6439" w:hanging="6439"/>
              <w:rPr>
                <w:sz w:val="20"/>
              </w:rPr>
            </w:pPr>
            <w:r>
              <w:rPr>
                <w:sz w:val="20"/>
              </w:rPr>
              <w:t xml:space="preserve">Tel: </w:t>
            </w:r>
            <w:r>
              <w:rPr>
                <w:sz w:val="20"/>
              </w:rPr>
              <w:tab/>
              <w:t>(01274) 43</w:t>
            </w:r>
            <w:r w:rsidR="00BF533A">
              <w:rPr>
                <w:sz w:val="20"/>
              </w:rPr>
              <w:t>4224</w:t>
            </w:r>
          </w:p>
          <w:p w:rsidR="00E877FB" w:rsidRDefault="00E877FB">
            <w:pPr>
              <w:tabs>
                <w:tab w:val="left" w:pos="612"/>
                <w:tab w:val="left" w:pos="972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Fax: </w:t>
            </w:r>
            <w:r>
              <w:rPr>
                <w:sz w:val="20"/>
              </w:rPr>
              <w:tab/>
              <w:t xml:space="preserve">(01274) </w:t>
            </w:r>
            <w:r w:rsidR="00E626AF">
              <w:rPr>
                <w:sz w:val="20"/>
              </w:rPr>
              <w:t>431461</w:t>
            </w:r>
          </w:p>
          <w:p w:rsidR="00E877FB" w:rsidRDefault="00E877FB">
            <w:pPr>
              <w:tabs>
                <w:tab w:val="left" w:pos="-1440"/>
                <w:tab w:val="left" w:pos="-720"/>
                <w:tab w:val="left" w:pos="0"/>
                <w:tab w:val="left" w:pos="612"/>
                <w:tab w:val="left" w:pos="9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left="10800" w:hanging="10800"/>
              <w:rPr>
                <w:sz w:val="20"/>
              </w:rPr>
            </w:pPr>
            <w:r>
              <w:rPr>
                <w:sz w:val="20"/>
              </w:rPr>
              <w:t>Email:</w:t>
            </w:r>
            <w:r>
              <w:rPr>
                <w:sz w:val="20"/>
              </w:rPr>
              <w:tab/>
            </w:r>
            <w:r w:rsidR="00BF533A">
              <w:rPr>
                <w:sz w:val="20"/>
              </w:rPr>
              <w:t>nigel.gillatt</w:t>
            </w:r>
            <w:r>
              <w:rPr>
                <w:sz w:val="20"/>
              </w:rPr>
              <w:t>@bradford.gov.uk</w:t>
            </w:r>
          </w:p>
          <w:p w:rsidR="00E877FB" w:rsidRDefault="00E877FB">
            <w:pPr>
              <w:tabs>
                <w:tab w:val="left" w:pos="-1440"/>
                <w:tab w:val="left" w:pos="-720"/>
                <w:tab w:val="left" w:pos="0"/>
                <w:tab w:val="left" w:pos="612"/>
                <w:tab w:val="left" w:pos="9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left="10800" w:hanging="10800"/>
              <w:rPr>
                <w:sz w:val="20"/>
              </w:rPr>
            </w:pPr>
            <w:r>
              <w:rPr>
                <w:sz w:val="20"/>
              </w:rPr>
              <w:t>Website:</w:t>
            </w:r>
            <w:r>
              <w:rPr>
                <w:sz w:val="20"/>
              </w:rPr>
              <w:tab/>
            </w:r>
            <w:hyperlink r:id="rId8" w:history="1">
              <w:r>
                <w:rPr>
                  <w:rStyle w:val="Hyperlink"/>
                </w:rPr>
                <w:t>http://www.bradford.gov.uk</w:t>
              </w:r>
            </w:hyperlink>
          </w:p>
          <w:p w:rsidR="00E877FB" w:rsidRDefault="00E877FB">
            <w:pPr>
              <w:tabs>
                <w:tab w:val="left" w:pos="-1440"/>
                <w:tab w:val="left" w:pos="-720"/>
                <w:tab w:val="left" w:pos="0"/>
                <w:tab w:val="left" w:pos="612"/>
                <w:tab w:val="left" w:pos="9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left="10800" w:hanging="10800"/>
              <w:rPr>
                <w:sz w:val="20"/>
              </w:rPr>
            </w:pPr>
            <w:r>
              <w:rPr>
                <w:sz w:val="20"/>
              </w:rPr>
              <w:t>Your Ref: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GOTOBUTTON </w:instrTex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GOTOBUTTON your ref </w:instrText>
            </w:r>
            <w:r>
              <w:rPr>
                <w:sz w:val="20"/>
              </w:rPr>
              <w:fldChar w:fldCharType="end"/>
            </w:r>
          </w:p>
          <w:p w:rsidR="00E877FB" w:rsidRDefault="00E877FB">
            <w:pPr>
              <w:tabs>
                <w:tab w:val="left" w:pos="-1440"/>
                <w:tab w:val="left" w:pos="-720"/>
                <w:tab w:val="left" w:pos="0"/>
                <w:tab w:val="left" w:pos="9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sz w:val="20"/>
              </w:rPr>
            </w:pPr>
            <w:r>
              <w:rPr>
                <w:sz w:val="20"/>
              </w:rPr>
              <w:t>My Ref:</w:t>
            </w:r>
            <w:r>
              <w:rPr>
                <w:sz w:val="20"/>
              </w:rPr>
              <w:tab/>
            </w:r>
            <w:r w:rsidR="00E626AF">
              <w:rPr>
                <w:sz w:val="20"/>
              </w:rPr>
              <w:t>E</w:t>
            </w:r>
            <w:r>
              <w:rPr>
                <w:sz w:val="20"/>
              </w:rPr>
              <w:t>M/</w:t>
            </w:r>
            <w:r w:rsidR="00BF533A">
              <w:rPr>
                <w:sz w:val="20"/>
              </w:rPr>
              <w:t>NSG/</w:t>
            </w:r>
            <w:r w:rsidR="008E1040">
              <w:rPr>
                <w:sz w:val="20"/>
              </w:rPr>
              <w:t>00060</w:t>
            </w:r>
          </w:p>
          <w:p w:rsidR="00E877FB" w:rsidRDefault="00E877FB">
            <w:pPr>
              <w:tabs>
                <w:tab w:val="left" w:pos="-1440"/>
                <w:tab w:val="left" w:pos="-720"/>
                <w:tab w:val="left" w:pos="0"/>
                <w:tab w:val="left" w:pos="9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sz w:val="20"/>
              </w:rPr>
            </w:pPr>
            <w:r>
              <w:rPr>
                <w:sz w:val="20"/>
              </w:rPr>
              <w:t>Contact: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GOTOBUTTON contact </w:instrText>
            </w:r>
            <w:r>
              <w:rPr>
                <w:sz w:val="20"/>
              </w:rPr>
              <w:fldChar w:fldCharType="end"/>
            </w:r>
            <w:r w:rsidR="00BF533A">
              <w:rPr>
                <w:sz w:val="20"/>
              </w:rPr>
              <w:t>Nigel Gillatt</w:t>
            </w:r>
          </w:p>
          <w:p w:rsidR="00E877FB" w:rsidRPr="00BF533A" w:rsidRDefault="00BF533A">
            <w:pPr>
              <w:tabs>
                <w:tab w:val="left" w:pos="-1440"/>
                <w:tab w:val="left" w:pos="-720"/>
                <w:tab w:val="left" w:pos="0"/>
                <w:tab w:val="left" w:pos="9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b/>
                <w:sz w:val="20"/>
              </w:rPr>
            </w:pPr>
            <w:r w:rsidRPr="00BF533A">
              <w:rPr>
                <w:b/>
                <w:sz w:val="20"/>
              </w:rPr>
              <w:t>Subject to Contract</w:t>
            </w:r>
          </w:p>
          <w:p w:rsidR="00BF533A" w:rsidRPr="00BF533A" w:rsidRDefault="00BF533A">
            <w:pPr>
              <w:tabs>
                <w:tab w:val="left" w:pos="-1440"/>
                <w:tab w:val="left" w:pos="-720"/>
                <w:tab w:val="left" w:pos="0"/>
                <w:tab w:val="left" w:pos="9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b/>
                <w:sz w:val="20"/>
              </w:rPr>
            </w:pPr>
            <w:r w:rsidRPr="00BF533A">
              <w:rPr>
                <w:b/>
                <w:sz w:val="20"/>
              </w:rPr>
              <w:t>Without Prejudice</w:t>
            </w:r>
          </w:p>
          <w:p w:rsidR="00BF533A" w:rsidRDefault="00BF533A">
            <w:pPr>
              <w:tabs>
                <w:tab w:val="left" w:pos="-1440"/>
                <w:tab w:val="left" w:pos="-720"/>
                <w:tab w:val="left" w:pos="0"/>
                <w:tab w:val="left" w:pos="9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sz w:val="20"/>
              </w:rPr>
            </w:pPr>
          </w:p>
          <w:p w:rsidR="00E877FB" w:rsidRDefault="00E877FB">
            <w:pPr>
              <w:tabs>
                <w:tab w:val="left" w:pos="-1440"/>
              </w:tabs>
              <w:jc w:val="both"/>
            </w:pPr>
            <w:r>
              <w:rPr>
                <w:sz w:val="20"/>
              </w:rPr>
              <w:t xml:space="preserve">Date: 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TIME \@ "dd MMMM yyyy" </w:instrText>
            </w:r>
            <w:r>
              <w:rPr>
                <w:sz w:val="20"/>
              </w:rPr>
              <w:fldChar w:fldCharType="separate"/>
            </w:r>
            <w:r w:rsidR="005A73B2">
              <w:rPr>
                <w:noProof/>
                <w:sz w:val="20"/>
              </w:rPr>
              <w:t>07 March 2018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</w:p>
        </w:tc>
      </w:tr>
      <w:tr w:rsidR="00E877FB" w:rsidTr="00E626AF">
        <w:trPr>
          <w:cantSplit/>
          <w:trHeight w:val="1770"/>
        </w:trPr>
        <w:tc>
          <w:tcPr>
            <w:tcW w:w="5220" w:type="dxa"/>
          </w:tcPr>
          <w:p w:rsidR="00BC4778" w:rsidRDefault="00BC4778" w:rsidP="00391121">
            <w:pPr>
              <w:jc w:val="both"/>
            </w:pPr>
          </w:p>
          <w:p w:rsidR="00D7462D" w:rsidRDefault="00D7462D" w:rsidP="008C6DFE">
            <w:pPr>
              <w:jc w:val="both"/>
            </w:pPr>
          </w:p>
          <w:p w:rsidR="00FD1FB6" w:rsidRDefault="00FD1FB6" w:rsidP="008C6DFE">
            <w:pPr>
              <w:jc w:val="both"/>
            </w:pPr>
          </w:p>
          <w:p w:rsidR="00FD1FB6" w:rsidRDefault="00FD1FB6" w:rsidP="008C6DFE">
            <w:pPr>
              <w:jc w:val="both"/>
            </w:pPr>
            <w:r>
              <w:t>Peter Ashton</w:t>
            </w:r>
          </w:p>
          <w:p w:rsidR="00FD1FB6" w:rsidRDefault="00FD1FB6" w:rsidP="008C6DFE">
            <w:pPr>
              <w:jc w:val="both"/>
            </w:pPr>
            <w:r>
              <w:t>Baildon Town Council</w:t>
            </w:r>
          </w:p>
          <w:p w:rsidR="00FD1FB6" w:rsidRDefault="00FD1FB6" w:rsidP="008C6DFE">
            <w:pPr>
              <w:jc w:val="both"/>
            </w:pPr>
            <w:r>
              <w:t>Baildon Library</w:t>
            </w:r>
          </w:p>
          <w:p w:rsidR="00FD1FB6" w:rsidRDefault="00B87F1D" w:rsidP="008C6DFE">
            <w:pPr>
              <w:jc w:val="both"/>
            </w:pPr>
            <w:proofErr w:type="spellStart"/>
            <w:r>
              <w:t>Hall</w:t>
            </w:r>
            <w:r w:rsidR="00FD1FB6">
              <w:t>cliffe</w:t>
            </w:r>
            <w:proofErr w:type="spellEnd"/>
          </w:p>
          <w:p w:rsidR="00FD1FB6" w:rsidRDefault="00FD1FB6" w:rsidP="008C6DFE">
            <w:pPr>
              <w:jc w:val="both"/>
            </w:pPr>
            <w:r>
              <w:t>Baildon</w:t>
            </w:r>
          </w:p>
          <w:p w:rsidR="00FD1FB6" w:rsidRDefault="00FD1FB6" w:rsidP="008C6DFE">
            <w:pPr>
              <w:jc w:val="both"/>
            </w:pPr>
            <w:r>
              <w:t>BD17 6ND</w:t>
            </w:r>
          </w:p>
        </w:tc>
        <w:tc>
          <w:tcPr>
            <w:tcW w:w="5220" w:type="dxa"/>
            <w:vMerge/>
          </w:tcPr>
          <w:p w:rsidR="00E877FB" w:rsidRDefault="00E877FB"/>
        </w:tc>
      </w:tr>
    </w:tbl>
    <w:p w:rsidR="00E877FB" w:rsidRDefault="00E877FB"/>
    <w:p w:rsidR="00E877FB" w:rsidRDefault="00E877FB"/>
    <w:p w:rsidR="00E877FB" w:rsidRDefault="00E877FB">
      <w:r>
        <w:t xml:space="preserve">Dear </w:t>
      </w:r>
      <w:r w:rsidR="00FD1FB6">
        <w:t>Peter</w:t>
      </w:r>
    </w:p>
    <w:p w:rsidR="00E877FB" w:rsidRDefault="00E877FB"/>
    <w:p w:rsidR="00D10E84" w:rsidRPr="00145FBE" w:rsidRDefault="008C6DFE" w:rsidP="00BF533A">
      <w:pPr>
        <w:spacing w:after="200" w:line="276" w:lineRule="auto"/>
        <w:rPr>
          <w:rFonts w:cs="Arial"/>
          <w:b/>
          <w:szCs w:val="22"/>
        </w:rPr>
      </w:pPr>
      <w:r>
        <w:rPr>
          <w:rFonts w:cs="Arial"/>
          <w:b/>
          <w:szCs w:val="22"/>
        </w:rPr>
        <w:t>IAN CLOUGH HALL, BAILDON</w:t>
      </w:r>
    </w:p>
    <w:p w:rsidR="00420FE8" w:rsidRDefault="00FE4A78" w:rsidP="00BF533A">
      <w:pPr>
        <w:spacing w:after="200" w:line="276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Further to </w:t>
      </w:r>
      <w:r w:rsidR="00557978">
        <w:rPr>
          <w:rFonts w:cs="Arial"/>
          <w:szCs w:val="22"/>
        </w:rPr>
        <w:t xml:space="preserve">our </w:t>
      </w:r>
      <w:r w:rsidR="008C6DFE">
        <w:rPr>
          <w:rFonts w:cs="Arial"/>
          <w:szCs w:val="22"/>
        </w:rPr>
        <w:t>meeting</w:t>
      </w:r>
      <w:r w:rsidR="00CC1CE9">
        <w:rPr>
          <w:rFonts w:cs="Arial"/>
          <w:szCs w:val="22"/>
        </w:rPr>
        <w:t xml:space="preserve"> together with Lou</w:t>
      </w:r>
      <w:r w:rsidR="008D04A8">
        <w:rPr>
          <w:rFonts w:cs="Arial"/>
          <w:szCs w:val="22"/>
        </w:rPr>
        <w:t>anne</w:t>
      </w:r>
      <w:r w:rsidR="00CC1CE9">
        <w:rPr>
          <w:rFonts w:cs="Arial"/>
          <w:szCs w:val="22"/>
        </w:rPr>
        <w:t xml:space="preserve"> and Tom</w:t>
      </w:r>
      <w:r w:rsidR="008C6DFE">
        <w:rPr>
          <w:rFonts w:cs="Arial"/>
          <w:szCs w:val="22"/>
        </w:rPr>
        <w:t xml:space="preserve"> on the </w:t>
      </w:r>
      <w:r w:rsidR="008D04A8">
        <w:rPr>
          <w:rFonts w:cs="Arial"/>
          <w:szCs w:val="22"/>
        </w:rPr>
        <w:t>2</w:t>
      </w:r>
      <w:r w:rsidR="008E1040">
        <w:rPr>
          <w:rFonts w:cs="Arial"/>
          <w:szCs w:val="22"/>
        </w:rPr>
        <w:t>0</w:t>
      </w:r>
      <w:r w:rsidRPr="00FE4A78">
        <w:rPr>
          <w:rFonts w:cs="Arial"/>
          <w:szCs w:val="22"/>
          <w:vertAlign w:val="superscript"/>
        </w:rPr>
        <w:t>th</w:t>
      </w:r>
      <w:r w:rsidR="00EB18C2">
        <w:rPr>
          <w:rFonts w:cs="Arial"/>
          <w:szCs w:val="22"/>
        </w:rPr>
        <w:t xml:space="preserve"> </w:t>
      </w:r>
      <w:r w:rsidR="008D04A8">
        <w:rPr>
          <w:rFonts w:cs="Arial"/>
          <w:szCs w:val="22"/>
        </w:rPr>
        <w:t>February</w:t>
      </w:r>
      <w:r w:rsidR="008E1040">
        <w:rPr>
          <w:rFonts w:cs="Arial"/>
          <w:szCs w:val="22"/>
        </w:rPr>
        <w:t xml:space="preserve"> 2018</w:t>
      </w:r>
      <w:r>
        <w:rPr>
          <w:rFonts w:cs="Arial"/>
          <w:szCs w:val="22"/>
        </w:rPr>
        <w:t>,</w:t>
      </w:r>
      <w:r w:rsidR="00142C3F">
        <w:rPr>
          <w:rFonts w:cs="Arial"/>
          <w:szCs w:val="22"/>
        </w:rPr>
        <w:t xml:space="preserve"> </w:t>
      </w:r>
      <w:r w:rsidR="008E1040">
        <w:rPr>
          <w:rFonts w:cs="Arial"/>
          <w:szCs w:val="22"/>
        </w:rPr>
        <w:t>p</w:t>
      </w:r>
      <w:r w:rsidR="00557978">
        <w:rPr>
          <w:rFonts w:cs="Arial"/>
          <w:szCs w:val="22"/>
        </w:rPr>
        <w:t>lease find below t</w:t>
      </w:r>
      <w:r w:rsidR="008E1040">
        <w:rPr>
          <w:rFonts w:cs="Arial"/>
          <w:szCs w:val="22"/>
        </w:rPr>
        <w:t xml:space="preserve">he proposed heads of terms for an interim Community Asset Transfer </w:t>
      </w:r>
      <w:r w:rsidR="00AC10AE">
        <w:rPr>
          <w:rFonts w:cs="Arial"/>
          <w:szCs w:val="22"/>
        </w:rPr>
        <w:t xml:space="preserve">(CAT) </w:t>
      </w:r>
      <w:r w:rsidR="008E1040">
        <w:rPr>
          <w:rFonts w:cs="Arial"/>
          <w:szCs w:val="22"/>
        </w:rPr>
        <w:t>lease</w:t>
      </w:r>
      <w:r w:rsidR="00557978">
        <w:rPr>
          <w:rFonts w:cs="Arial"/>
          <w:szCs w:val="22"/>
        </w:rPr>
        <w:t>.</w:t>
      </w:r>
    </w:p>
    <w:p w:rsidR="006F1823" w:rsidRDefault="008E1040" w:rsidP="00BF533A">
      <w:pPr>
        <w:spacing w:after="200" w:line="276" w:lineRule="auto"/>
        <w:rPr>
          <w:rFonts w:cs="Arial"/>
          <w:szCs w:val="22"/>
        </w:rPr>
      </w:pPr>
      <w:r>
        <w:rPr>
          <w:rFonts w:cs="Arial"/>
          <w:szCs w:val="22"/>
        </w:rPr>
        <w:t>Baildon Town Council</w:t>
      </w:r>
      <w:r w:rsidR="008D04A8">
        <w:rPr>
          <w:rFonts w:cs="Arial"/>
          <w:szCs w:val="22"/>
        </w:rPr>
        <w:t xml:space="preserve"> (BTC)</w:t>
      </w:r>
      <w:r>
        <w:rPr>
          <w:rFonts w:cs="Arial"/>
          <w:szCs w:val="22"/>
        </w:rPr>
        <w:t xml:space="preserve"> </w:t>
      </w:r>
      <w:r w:rsidR="00420FE8">
        <w:rPr>
          <w:rFonts w:cs="Arial"/>
          <w:szCs w:val="22"/>
        </w:rPr>
        <w:t xml:space="preserve">however </w:t>
      </w:r>
      <w:r w:rsidR="00FF25CC">
        <w:rPr>
          <w:rFonts w:cs="Arial"/>
          <w:szCs w:val="22"/>
        </w:rPr>
        <w:t>need to</w:t>
      </w:r>
      <w:r w:rsidR="008D04A8">
        <w:rPr>
          <w:rFonts w:cs="Arial"/>
          <w:szCs w:val="22"/>
        </w:rPr>
        <w:t xml:space="preserve"> complete a State 2 CAT Application as part of the</w:t>
      </w:r>
      <w:r w:rsidR="00142C3F">
        <w:rPr>
          <w:rFonts w:cs="Arial"/>
          <w:szCs w:val="22"/>
        </w:rPr>
        <w:t xml:space="preserve"> CAT process </w:t>
      </w:r>
      <w:r w:rsidR="006F1823">
        <w:rPr>
          <w:rFonts w:cs="Arial"/>
          <w:szCs w:val="22"/>
        </w:rPr>
        <w:t>to</w:t>
      </w:r>
      <w:r>
        <w:rPr>
          <w:rFonts w:cs="Arial"/>
          <w:szCs w:val="22"/>
        </w:rPr>
        <w:t xml:space="preserve"> enable</w:t>
      </w:r>
      <w:r w:rsidR="006F1823">
        <w:rPr>
          <w:rFonts w:cs="Arial"/>
          <w:szCs w:val="22"/>
        </w:rPr>
        <w:t xml:space="preserve"> </w:t>
      </w:r>
      <w:r w:rsidR="00FE4A78">
        <w:rPr>
          <w:rFonts w:cs="Arial"/>
          <w:szCs w:val="22"/>
        </w:rPr>
        <w:t>‘</w:t>
      </w:r>
      <w:r w:rsidR="006F1823">
        <w:rPr>
          <w:rFonts w:cs="Arial"/>
          <w:szCs w:val="22"/>
        </w:rPr>
        <w:t>final sign off</w:t>
      </w:r>
      <w:r w:rsidR="00FE4A78">
        <w:rPr>
          <w:rFonts w:cs="Arial"/>
          <w:szCs w:val="22"/>
        </w:rPr>
        <w:t>’</w:t>
      </w:r>
      <w:r w:rsidR="006F1823">
        <w:rPr>
          <w:rFonts w:cs="Arial"/>
          <w:szCs w:val="22"/>
        </w:rPr>
        <w:t xml:space="preserve"> by the Strategic Director of Corporate </w:t>
      </w:r>
      <w:r w:rsidR="008D04A8">
        <w:rPr>
          <w:rFonts w:cs="Arial"/>
          <w:szCs w:val="22"/>
        </w:rPr>
        <w:t>Resource.</w:t>
      </w:r>
    </w:p>
    <w:p w:rsidR="008E1040" w:rsidRPr="00142E1A" w:rsidRDefault="008E1040" w:rsidP="00BF533A">
      <w:pPr>
        <w:spacing w:after="200" w:line="276" w:lineRule="auto"/>
        <w:rPr>
          <w:rFonts w:cs="Arial"/>
          <w:color w:val="000000" w:themeColor="text1"/>
          <w:szCs w:val="22"/>
        </w:rPr>
      </w:pPr>
      <w:r>
        <w:rPr>
          <w:rFonts w:cs="Arial"/>
          <w:szCs w:val="22"/>
        </w:rPr>
        <w:t xml:space="preserve">The arrangements are an interim measure whilst the potential for </w:t>
      </w:r>
      <w:r w:rsidR="00176128">
        <w:rPr>
          <w:rFonts w:cs="Arial"/>
          <w:szCs w:val="22"/>
        </w:rPr>
        <w:t xml:space="preserve">the </w:t>
      </w:r>
      <w:r>
        <w:rPr>
          <w:rFonts w:cs="Arial"/>
          <w:szCs w:val="22"/>
        </w:rPr>
        <w:t xml:space="preserve">redevelopment of the </w:t>
      </w:r>
      <w:r w:rsidR="000269D0">
        <w:rPr>
          <w:rFonts w:cs="Arial"/>
          <w:szCs w:val="22"/>
        </w:rPr>
        <w:t>site, car park</w:t>
      </w:r>
      <w:r>
        <w:rPr>
          <w:rFonts w:cs="Arial"/>
          <w:szCs w:val="22"/>
        </w:rPr>
        <w:t xml:space="preserve"> and new public realm within the centre of Baildon</w:t>
      </w:r>
      <w:r w:rsidR="00176128">
        <w:rPr>
          <w:rFonts w:cs="Arial"/>
          <w:szCs w:val="22"/>
        </w:rPr>
        <w:t xml:space="preserve"> is evaluated and a redevelopment scheme </w:t>
      </w:r>
      <w:r w:rsidR="008D04A8">
        <w:rPr>
          <w:rFonts w:cs="Arial"/>
          <w:szCs w:val="22"/>
        </w:rPr>
        <w:t xml:space="preserve">implemented. </w:t>
      </w:r>
      <w:r>
        <w:rPr>
          <w:rFonts w:cs="Arial"/>
          <w:szCs w:val="22"/>
        </w:rPr>
        <w:t>The Director of Corpo</w:t>
      </w:r>
      <w:r w:rsidR="000269D0">
        <w:rPr>
          <w:rFonts w:cs="Arial"/>
          <w:szCs w:val="22"/>
        </w:rPr>
        <w:t xml:space="preserve">rate </w:t>
      </w:r>
      <w:r w:rsidR="00304EB4">
        <w:rPr>
          <w:rFonts w:cs="Arial"/>
          <w:szCs w:val="22"/>
        </w:rPr>
        <w:t>Resource</w:t>
      </w:r>
      <w:r w:rsidR="000269D0">
        <w:rPr>
          <w:rFonts w:cs="Arial"/>
          <w:szCs w:val="22"/>
        </w:rPr>
        <w:t xml:space="preserve"> is to complete a </w:t>
      </w:r>
      <w:r w:rsidR="00304EB4">
        <w:rPr>
          <w:rFonts w:cs="Arial"/>
          <w:szCs w:val="22"/>
        </w:rPr>
        <w:t>Partnership Agreement</w:t>
      </w:r>
      <w:r>
        <w:rPr>
          <w:rFonts w:cs="Arial"/>
          <w:szCs w:val="22"/>
        </w:rPr>
        <w:t xml:space="preserve"> with </w:t>
      </w:r>
      <w:r w:rsidR="00AC10AE">
        <w:rPr>
          <w:rFonts w:cs="Arial"/>
          <w:szCs w:val="22"/>
        </w:rPr>
        <w:t>BTC</w:t>
      </w:r>
      <w:r w:rsidR="008D04A8">
        <w:rPr>
          <w:rFonts w:cs="Arial"/>
          <w:szCs w:val="22"/>
        </w:rPr>
        <w:t xml:space="preserve"> giving you</w:t>
      </w:r>
      <w:r w:rsidR="00304EB4">
        <w:rPr>
          <w:rFonts w:cs="Arial"/>
          <w:szCs w:val="22"/>
        </w:rPr>
        <w:t xml:space="preserve"> a</w:t>
      </w:r>
      <w:r w:rsidR="008D04A8">
        <w:rPr>
          <w:rFonts w:cs="Arial"/>
          <w:szCs w:val="22"/>
        </w:rPr>
        <w:t xml:space="preserve"> </w:t>
      </w:r>
      <w:r w:rsidR="00AC10AE">
        <w:rPr>
          <w:rFonts w:cs="Arial"/>
          <w:szCs w:val="22"/>
        </w:rPr>
        <w:t>say</w:t>
      </w:r>
      <w:r w:rsidR="00176128">
        <w:rPr>
          <w:rFonts w:cs="Arial"/>
          <w:szCs w:val="22"/>
        </w:rPr>
        <w:t xml:space="preserve"> in </w:t>
      </w:r>
      <w:r w:rsidR="00304EB4">
        <w:rPr>
          <w:rFonts w:cs="Arial"/>
          <w:szCs w:val="22"/>
        </w:rPr>
        <w:t>the</w:t>
      </w:r>
      <w:r w:rsidR="00176128">
        <w:rPr>
          <w:rFonts w:cs="Arial"/>
          <w:szCs w:val="22"/>
        </w:rPr>
        <w:t xml:space="preserve"> form</w:t>
      </w:r>
      <w:r w:rsidR="00304EB4">
        <w:rPr>
          <w:rFonts w:cs="Arial"/>
          <w:szCs w:val="22"/>
        </w:rPr>
        <w:t xml:space="preserve"> of the redevelopment</w:t>
      </w:r>
      <w:r w:rsidR="00AC10AE">
        <w:rPr>
          <w:rFonts w:cs="Arial"/>
          <w:szCs w:val="22"/>
        </w:rPr>
        <w:t xml:space="preserve"> </w:t>
      </w:r>
      <w:r w:rsidR="00304EB4">
        <w:rPr>
          <w:rFonts w:cs="Arial"/>
          <w:szCs w:val="22"/>
        </w:rPr>
        <w:t>which is to</w:t>
      </w:r>
      <w:r w:rsidR="00AC10AE">
        <w:rPr>
          <w:rFonts w:cs="Arial"/>
          <w:szCs w:val="22"/>
        </w:rPr>
        <w:t xml:space="preserve"> include </w:t>
      </w:r>
      <w:r w:rsidR="000269D0">
        <w:rPr>
          <w:rFonts w:cs="Arial"/>
          <w:szCs w:val="22"/>
        </w:rPr>
        <w:t xml:space="preserve">sustainable </w:t>
      </w:r>
      <w:r w:rsidR="008D04A8">
        <w:rPr>
          <w:rFonts w:cs="Arial"/>
          <w:szCs w:val="22"/>
        </w:rPr>
        <w:t xml:space="preserve">community </w:t>
      </w:r>
      <w:r w:rsidR="00AC10AE">
        <w:rPr>
          <w:rFonts w:cs="Arial"/>
          <w:szCs w:val="22"/>
        </w:rPr>
        <w:t>facilities which will be transferred (CAT) to BTC</w:t>
      </w:r>
      <w:r w:rsidR="000269D0">
        <w:rPr>
          <w:rFonts w:cs="Arial"/>
          <w:szCs w:val="22"/>
        </w:rPr>
        <w:t xml:space="preserve"> on completion</w:t>
      </w:r>
      <w:r w:rsidR="00AC10AE">
        <w:rPr>
          <w:rFonts w:cs="Arial"/>
          <w:szCs w:val="22"/>
        </w:rPr>
        <w:t>.</w:t>
      </w:r>
      <w:r w:rsidR="00EE21A8">
        <w:rPr>
          <w:rFonts w:cs="Arial"/>
          <w:szCs w:val="22"/>
        </w:rPr>
        <w:t xml:space="preserve"> </w:t>
      </w:r>
      <w:r w:rsidR="005747DF" w:rsidRPr="00142E1A">
        <w:rPr>
          <w:rFonts w:cs="Arial"/>
          <w:color w:val="000000" w:themeColor="text1"/>
          <w:szCs w:val="22"/>
        </w:rPr>
        <w:t xml:space="preserve">City of Bradford Metropolitan </w:t>
      </w:r>
      <w:r w:rsidR="008D04A8" w:rsidRPr="00142E1A">
        <w:rPr>
          <w:rFonts w:cs="Arial"/>
          <w:color w:val="000000" w:themeColor="text1"/>
          <w:szCs w:val="22"/>
        </w:rPr>
        <w:t>D</w:t>
      </w:r>
      <w:r w:rsidR="005747DF" w:rsidRPr="00142E1A">
        <w:rPr>
          <w:rFonts w:cs="Arial"/>
          <w:color w:val="000000" w:themeColor="text1"/>
          <w:szCs w:val="22"/>
        </w:rPr>
        <w:t xml:space="preserve">istrict Council </w:t>
      </w:r>
      <w:r w:rsidR="008C636A" w:rsidRPr="00142E1A">
        <w:rPr>
          <w:rFonts w:cs="Arial"/>
          <w:color w:val="000000" w:themeColor="text1"/>
          <w:szCs w:val="22"/>
        </w:rPr>
        <w:t>will</w:t>
      </w:r>
      <w:r w:rsidR="005747DF" w:rsidRPr="00142E1A">
        <w:rPr>
          <w:rFonts w:cs="Arial"/>
          <w:color w:val="000000" w:themeColor="text1"/>
          <w:szCs w:val="22"/>
        </w:rPr>
        <w:t xml:space="preserve"> place on a </w:t>
      </w:r>
      <w:r w:rsidR="008C636A" w:rsidRPr="00142E1A">
        <w:rPr>
          <w:rFonts w:cs="Arial"/>
          <w:color w:val="000000" w:themeColor="text1"/>
          <w:szCs w:val="22"/>
        </w:rPr>
        <w:t>Legal C</w:t>
      </w:r>
      <w:r w:rsidR="005747DF" w:rsidRPr="00142E1A">
        <w:rPr>
          <w:rFonts w:cs="Arial"/>
          <w:color w:val="000000" w:themeColor="text1"/>
          <w:szCs w:val="22"/>
        </w:rPr>
        <w:t>harge upon the land forbidding its disposal until the Partnership Agreement is ended.</w:t>
      </w:r>
    </w:p>
    <w:p w:rsidR="00445334" w:rsidRDefault="00445334" w:rsidP="00BF533A">
      <w:pPr>
        <w:spacing w:after="200" w:line="276" w:lineRule="auto"/>
        <w:rPr>
          <w:rFonts w:cs="Arial"/>
          <w:szCs w:val="22"/>
        </w:rPr>
      </w:pPr>
      <w:r>
        <w:rPr>
          <w:rFonts w:cs="Arial"/>
          <w:szCs w:val="22"/>
        </w:rPr>
        <w:t>Although it is proposed that the lease is for five year</w:t>
      </w:r>
      <w:r w:rsidR="000269D0">
        <w:rPr>
          <w:rFonts w:cs="Arial"/>
          <w:szCs w:val="22"/>
        </w:rPr>
        <w:t>s</w:t>
      </w:r>
      <w:r w:rsidR="00BC31BF">
        <w:rPr>
          <w:rFonts w:cs="Arial"/>
          <w:szCs w:val="22"/>
        </w:rPr>
        <w:t xml:space="preserve"> </w:t>
      </w:r>
      <w:r w:rsidR="000269D0">
        <w:rPr>
          <w:rFonts w:cs="Arial"/>
          <w:szCs w:val="22"/>
        </w:rPr>
        <w:t>this</w:t>
      </w:r>
      <w:r w:rsidR="00BC31BF">
        <w:rPr>
          <w:rFonts w:cs="Arial"/>
          <w:szCs w:val="22"/>
        </w:rPr>
        <w:t xml:space="preserve"> is really a </w:t>
      </w:r>
      <w:r w:rsidR="000269D0">
        <w:rPr>
          <w:rFonts w:cs="Arial"/>
          <w:szCs w:val="22"/>
        </w:rPr>
        <w:t>‘</w:t>
      </w:r>
      <w:r w:rsidR="00BC31BF">
        <w:rPr>
          <w:rFonts w:cs="Arial"/>
          <w:szCs w:val="22"/>
        </w:rPr>
        <w:t>long stop date</w:t>
      </w:r>
      <w:r w:rsidR="000269D0">
        <w:rPr>
          <w:rFonts w:cs="Arial"/>
          <w:szCs w:val="22"/>
        </w:rPr>
        <w:t>’</w:t>
      </w:r>
      <w:r w:rsidR="008D04A8">
        <w:rPr>
          <w:rFonts w:cs="Arial"/>
          <w:szCs w:val="22"/>
        </w:rPr>
        <w:t xml:space="preserve"> and</w:t>
      </w:r>
      <w:r>
        <w:rPr>
          <w:rFonts w:cs="Arial"/>
          <w:szCs w:val="22"/>
        </w:rPr>
        <w:t xml:space="preserve"> you should be aware that the Council can only commit to its current level of funding until 31</w:t>
      </w:r>
      <w:r w:rsidRPr="00445334">
        <w:rPr>
          <w:rFonts w:cs="Arial"/>
          <w:szCs w:val="22"/>
          <w:vertAlign w:val="superscript"/>
        </w:rPr>
        <w:t>st</w:t>
      </w:r>
      <w:r>
        <w:rPr>
          <w:rFonts w:cs="Arial"/>
          <w:szCs w:val="22"/>
        </w:rPr>
        <w:t xml:space="preserve"> March 2019 so a</w:t>
      </w:r>
      <w:r w:rsidR="000269D0">
        <w:rPr>
          <w:rFonts w:cs="Arial"/>
          <w:szCs w:val="22"/>
        </w:rPr>
        <w:t xml:space="preserve"> joint</w:t>
      </w:r>
      <w:r>
        <w:rPr>
          <w:rFonts w:cs="Arial"/>
          <w:szCs w:val="22"/>
        </w:rPr>
        <w:t xml:space="preserve"> review </w:t>
      </w:r>
      <w:r w:rsidR="000269D0">
        <w:rPr>
          <w:rFonts w:cs="Arial"/>
          <w:szCs w:val="22"/>
        </w:rPr>
        <w:t xml:space="preserve">with BTC </w:t>
      </w:r>
      <w:r w:rsidR="00BC31BF">
        <w:rPr>
          <w:rFonts w:cs="Arial"/>
          <w:szCs w:val="22"/>
        </w:rPr>
        <w:t xml:space="preserve">will </w:t>
      </w:r>
      <w:r>
        <w:rPr>
          <w:rFonts w:cs="Arial"/>
          <w:szCs w:val="22"/>
        </w:rPr>
        <w:t>be required in December 2018 to consider progress on the proposed redevelopment</w:t>
      </w:r>
      <w:r w:rsidR="00BC31BF">
        <w:rPr>
          <w:rFonts w:cs="Arial"/>
          <w:szCs w:val="22"/>
        </w:rPr>
        <w:t xml:space="preserve"> scheme and whether notice</w:t>
      </w:r>
      <w:r w:rsidR="000269D0">
        <w:rPr>
          <w:rFonts w:cs="Arial"/>
          <w:szCs w:val="22"/>
        </w:rPr>
        <w:t xml:space="preserve"> to break</w:t>
      </w:r>
      <w:r w:rsidR="00BC31BF">
        <w:rPr>
          <w:rFonts w:cs="Arial"/>
          <w:szCs w:val="22"/>
        </w:rPr>
        <w:t xml:space="preserve"> </w:t>
      </w:r>
      <w:r w:rsidR="008D04A8">
        <w:rPr>
          <w:rFonts w:cs="Arial"/>
          <w:szCs w:val="22"/>
        </w:rPr>
        <w:t>has</w:t>
      </w:r>
      <w:r w:rsidR="00BC31BF">
        <w:rPr>
          <w:rFonts w:cs="Arial"/>
          <w:szCs w:val="22"/>
        </w:rPr>
        <w:t xml:space="preserve"> to</w:t>
      </w:r>
      <w:r w:rsidR="000269D0">
        <w:rPr>
          <w:rFonts w:cs="Arial"/>
          <w:szCs w:val="22"/>
        </w:rPr>
        <w:t xml:space="preserve"> be served to</w:t>
      </w:r>
      <w:r w:rsidR="00BC31BF">
        <w:rPr>
          <w:rFonts w:cs="Arial"/>
          <w:szCs w:val="22"/>
        </w:rPr>
        <w:t xml:space="preserve"> end the lease on 31</w:t>
      </w:r>
      <w:r w:rsidR="00BC31BF" w:rsidRPr="00BC31BF">
        <w:rPr>
          <w:rFonts w:cs="Arial"/>
          <w:szCs w:val="22"/>
          <w:vertAlign w:val="superscript"/>
        </w:rPr>
        <w:t>st</w:t>
      </w:r>
      <w:r w:rsidR="00BC31BF">
        <w:rPr>
          <w:rFonts w:cs="Arial"/>
          <w:szCs w:val="22"/>
        </w:rPr>
        <w:t xml:space="preserve"> March 2019.</w:t>
      </w:r>
    </w:p>
    <w:p w:rsidR="000269D0" w:rsidRDefault="00304EB4" w:rsidP="00BF533A">
      <w:pPr>
        <w:spacing w:after="200" w:line="276" w:lineRule="auto"/>
        <w:rPr>
          <w:rFonts w:cs="Arial"/>
          <w:szCs w:val="22"/>
        </w:rPr>
      </w:pPr>
      <w:r>
        <w:rPr>
          <w:rFonts w:cs="Arial"/>
          <w:szCs w:val="22"/>
        </w:rPr>
        <w:t>T</w:t>
      </w:r>
      <w:r w:rsidR="000269D0">
        <w:rPr>
          <w:rFonts w:cs="Arial"/>
          <w:szCs w:val="22"/>
        </w:rPr>
        <w:t xml:space="preserve">he </w:t>
      </w:r>
      <w:r>
        <w:rPr>
          <w:rFonts w:cs="Arial"/>
          <w:szCs w:val="22"/>
        </w:rPr>
        <w:t>Partnership Agreement</w:t>
      </w:r>
      <w:r w:rsidR="000269D0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and</w:t>
      </w:r>
      <w:r w:rsidR="000269D0">
        <w:rPr>
          <w:rFonts w:cs="Arial"/>
          <w:szCs w:val="22"/>
        </w:rPr>
        <w:t xml:space="preserve"> Lease shall </w:t>
      </w:r>
      <w:r w:rsidR="008D04A8">
        <w:rPr>
          <w:rFonts w:cs="Arial"/>
          <w:szCs w:val="22"/>
        </w:rPr>
        <w:t xml:space="preserve">not </w:t>
      </w:r>
      <w:r w:rsidR="000269D0">
        <w:rPr>
          <w:rFonts w:cs="Arial"/>
          <w:szCs w:val="22"/>
        </w:rPr>
        <w:t>preclude the retention of</w:t>
      </w:r>
      <w:r w:rsidR="008D04A8">
        <w:rPr>
          <w:rFonts w:cs="Arial"/>
          <w:szCs w:val="22"/>
        </w:rPr>
        <w:t xml:space="preserve"> the existing</w:t>
      </w:r>
      <w:r w:rsidR="000269D0">
        <w:rPr>
          <w:rFonts w:cs="Arial"/>
          <w:szCs w:val="22"/>
        </w:rPr>
        <w:t xml:space="preserve"> Ian Clough Hall and </w:t>
      </w:r>
      <w:r w:rsidR="008D04A8">
        <w:rPr>
          <w:rFonts w:cs="Arial"/>
          <w:szCs w:val="22"/>
        </w:rPr>
        <w:t xml:space="preserve">Baildon </w:t>
      </w:r>
      <w:r w:rsidR="000269D0">
        <w:rPr>
          <w:rFonts w:cs="Arial"/>
          <w:szCs w:val="22"/>
        </w:rPr>
        <w:t>Library in the longer term if this can be deemed sustainable.</w:t>
      </w:r>
    </w:p>
    <w:p w:rsidR="00142E1A" w:rsidRDefault="00142E1A" w:rsidP="00BF533A">
      <w:pPr>
        <w:spacing w:after="200" w:line="276" w:lineRule="auto"/>
        <w:rPr>
          <w:rFonts w:cs="Arial"/>
          <w:szCs w:val="22"/>
        </w:rPr>
      </w:pPr>
    </w:p>
    <w:p w:rsidR="00BF533A" w:rsidRPr="00145FBE" w:rsidRDefault="00BF533A" w:rsidP="00BF533A">
      <w:pPr>
        <w:spacing w:after="200" w:line="276" w:lineRule="auto"/>
        <w:rPr>
          <w:rFonts w:cs="Arial"/>
          <w:szCs w:val="22"/>
        </w:rPr>
      </w:pPr>
      <w:r w:rsidRPr="00145FBE">
        <w:rPr>
          <w:rFonts w:cs="Arial"/>
          <w:szCs w:val="22"/>
        </w:rPr>
        <w:lastRenderedPageBreak/>
        <w:t>LANDLORD</w:t>
      </w:r>
      <w:r w:rsidR="00AC10AE">
        <w:rPr>
          <w:rFonts w:cs="Arial"/>
          <w:szCs w:val="22"/>
        </w:rPr>
        <w:t xml:space="preserve"> - CBMDC</w:t>
      </w:r>
    </w:p>
    <w:p w:rsidR="00BF533A" w:rsidRPr="00145FBE" w:rsidRDefault="00BF533A" w:rsidP="00BF533A">
      <w:pPr>
        <w:spacing w:after="200" w:line="276" w:lineRule="auto"/>
        <w:rPr>
          <w:rFonts w:cs="Arial"/>
          <w:szCs w:val="22"/>
        </w:rPr>
      </w:pPr>
      <w:r w:rsidRPr="00145FBE">
        <w:rPr>
          <w:rFonts w:cs="Arial"/>
          <w:szCs w:val="22"/>
        </w:rPr>
        <w:t>TENANT</w:t>
      </w:r>
      <w:r w:rsidR="00AC10AE">
        <w:rPr>
          <w:rFonts w:cs="Arial"/>
          <w:szCs w:val="22"/>
        </w:rPr>
        <w:t xml:space="preserve"> - BTC</w:t>
      </w:r>
    </w:p>
    <w:p w:rsidR="00BF533A" w:rsidRDefault="00BF533A" w:rsidP="00BF533A">
      <w:pPr>
        <w:spacing w:after="200" w:line="276" w:lineRule="auto"/>
        <w:rPr>
          <w:rFonts w:cs="Arial"/>
          <w:b/>
          <w:szCs w:val="22"/>
        </w:rPr>
      </w:pPr>
      <w:r w:rsidRPr="00145FBE">
        <w:rPr>
          <w:rFonts w:cs="Arial"/>
          <w:b/>
          <w:szCs w:val="22"/>
        </w:rPr>
        <w:t>Lease Terms</w:t>
      </w:r>
      <w:r w:rsidR="004E05B2">
        <w:rPr>
          <w:rFonts w:cs="Arial"/>
          <w:b/>
          <w:szCs w:val="22"/>
        </w:rPr>
        <w:t>:</w:t>
      </w:r>
    </w:p>
    <w:p w:rsidR="001B32AB" w:rsidRPr="00142E1A" w:rsidRDefault="00514EDD" w:rsidP="004B57DE">
      <w:pPr>
        <w:numPr>
          <w:ilvl w:val="0"/>
          <w:numId w:val="1"/>
        </w:numPr>
        <w:spacing w:after="200" w:line="276" w:lineRule="auto"/>
        <w:contextualSpacing/>
        <w:rPr>
          <w:rFonts w:cs="Arial"/>
          <w:color w:val="000000" w:themeColor="text1"/>
          <w:szCs w:val="22"/>
        </w:rPr>
      </w:pPr>
      <w:r>
        <w:rPr>
          <w:rFonts w:cs="Arial"/>
          <w:szCs w:val="22"/>
        </w:rPr>
        <w:t>The property d</w:t>
      </w:r>
      <w:r w:rsidR="00BF533A" w:rsidRPr="004B57DE">
        <w:rPr>
          <w:rFonts w:cs="Arial"/>
          <w:szCs w:val="22"/>
        </w:rPr>
        <w:t>emised</w:t>
      </w:r>
      <w:r>
        <w:rPr>
          <w:rFonts w:cs="Arial"/>
          <w:szCs w:val="22"/>
        </w:rPr>
        <w:t xml:space="preserve"> </w:t>
      </w:r>
      <w:r w:rsidR="00BC31BF">
        <w:rPr>
          <w:rFonts w:cs="Arial"/>
          <w:szCs w:val="22"/>
        </w:rPr>
        <w:t>to</w:t>
      </w:r>
      <w:r w:rsidR="00007CE5">
        <w:rPr>
          <w:rFonts w:cs="Arial"/>
          <w:szCs w:val="22"/>
        </w:rPr>
        <w:t xml:space="preserve"> </w:t>
      </w:r>
      <w:r w:rsidR="00BC31BF">
        <w:rPr>
          <w:rFonts w:cs="Arial"/>
          <w:szCs w:val="22"/>
        </w:rPr>
        <w:t>Tenant is</w:t>
      </w:r>
      <w:r w:rsidR="00007CE5">
        <w:rPr>
          <w:rFonts w:cs="Arial"/>
          <w:szCs w:val="22"/>
        </w:rPr>
        <w:t xml:space="preserve"> shown</w:t>
      </w:r>
      <w:r w:rsidR="00D62E11">
        <w:rPr>
          <w:rFonts w:cs="Arial"/>
          <w:szCs w:val="22"/>
        </w:rPr>
        <w:t xml:space="preserve"> edged red</w:t>
      </w:r>
      <w:r w:rsidR="00BC4778">
        <w:rPr>
          <w:rFonts w:cs="Arial"/>
          <w:szCs w:val="22"/>
        </w:rPr>
        <w:t xml:space="preserve"> on p</w:t>
      </w:r>
      <w:r w:rsidR="00BF533A" w:rsidRPr="00145FBE">
        <w:rPr>
          <w:rFonts w:cs="Arial"/>
          <w:szCs w:val="22"/>
        </w:rPr>
        <w:t>lan</w:t>
      </w:r>
      <w:r w:rsidR="00007CE5">
        <w:rPr>
          <w:rFonts w:cs="Arial"/>
          <w:szCs w:val="22"/>
        </w:rPr>
        <w:t xml:space="preserve"> number</w:t>
      </w:r>
      <w:r w:rsidR="00BC4778">
        <w:rPr>
          <w:rFonts w:cs="Arial"/>
          <w:szCs w:val="22"/>
        </w:rPr>
        <w:t xml:space="preserve"> </w:t>
      </w:r>
      <w:r w:rsidR="00445334">
        <w:rPr>
          <w:rFonts w:cs="Arial"/>
          <w:szCs w:val="22"/>
        </w:rPr>
        <w:t>H</w:t>
      </w:r>
      <w:r w:rsidR="0081076A">
        <w:rPr>
          <w:rFonts w:cs="Arial"/>
          <w:szCs w:val="22"/>
        </w:rPr>
        <w:t>-</w:t>
      </w:r>
      <w:r w:rsidR="00445334">
        <w:rPr>
          <w:rFonts w:cs="Arial"/>
          <w:szCs w:val="22"/>
        </w:rPr>
        <w:t>101-007</w:t>
      </w:r>
      <w:r w:rsidR="00BF533A" w:rsidRPr="00145FBE">
        <w:rPr>
          <w:rFonts w:cs="Arial"/>
          <w:szCs w:val="22"/>
        </w:rPr>
        <w:t xml:space="preserve"> attached</w:t>
      </w:r>
      <w:r w:rsidR="0081076A">
        <w:rPr>
          <w:rFonts w:cs="Arial"/>
          <w:szCs w:val="22"/>
        </w:rPr>
        <w:t xml:space="preserve"> having a site area of </w:t>
      </w:r>
      <w:r w:rsidR="00445334">
        <w:rPr>
          <w:rFonts w:cs="Arial"/>
          <w:szCs w:val="22"/>
        </w:rPr>
        <w:t>1,376</w:t>
      </w:r>
      <w:r w:rsidR="0081076A">
        <w:rPr>
          <w:rFonts w:cs="Arial"/>
          <w:szCs w:val="22"/>
        </w:rPr>
        <w:t xml:space="preserve"> square metres.</w:t>
      </w:r>
      <w:r w:rsidR="00445334">
        <w:rPr>
          <w:rFonts w:cs="Arial"/>
          <w:szCs w:val="22"/>
        </w:rPr>
        <w:t xml:space="preserve"> You will note that the lease area excludes the electricity sub-station which is leased from 1</w:t>
      </w:r>
      <w:r w:rsidR="00445334" w:rsidRPr="00445334">
        <w:rPr>
          <w:rFonts w:cs="Arial"/>
          <w:szCs w:val="22"/>
          <w:vertAlign w:val="superscript"/>
        </w:rPr>
        <w:t>st</w:t>
      </w:r>
      <w:r w:rsidR="00445334">
        <w:rPr>
          <w:rFonts w:cs="Arial"/>
          <w:szCs w:val="22"/>
        </w:rPr>
        <w:t xml:space="preserve"> September 1970 to 31</w:t>
      </w:r>
      <w:r w:rsidR="00445334" w:rsidRPr="00445334">
        <w:rPr>
          <w:rFonts w:cs="Arial"/>
          <w:szCs w:val="22"/>
          <w:vertAlign w:val="superscript"/>
        </w:rPr>
        <w:t>st</w:t>
      </w:r>
      <w:r w:rsidR="00445334">
        <w:rPr>
          <w:rFonts w:cs="Arial"/>
          <w:szCs w:val="22"/>
        </w:rPr>
        <w:t xml:space="preserve"> August 2030 to Northern </w:t>
      </w:r>
      <w:proofErr w:type="spellStart"/>
      <w:r w:rsidR="00445334">
        <w:rPr>
          <w:rFonts w:cs="Arial"/>
          <w:szCs w:val="22"/>
        </w:rPr>
        <w:t>Powe</w:t>
      </w:r>
      <w:r w:rsidR="00677BC7">
        <w:rPr>
          <w:rFonts w:cs="Arial"/>
          <w:szCs w:val="22"/>
        </w:rPr>
        <w:t>r</w:t>
      </w:r>
      <w:r w:rsidR="001F4F74">
        <w:rPr>
          <w:rFonts w:cs="Arial"/>
          <w:szCs w:val="22"/>
        </w:rPr>
        <w:t>grid</w:t>
      </w:r>
      <w:proofErr w:type="spellEnd"/>
      <w:r w:rsidR="001F4F74">
        <w:rPr>
          <w:rFonts w:cs="Arial"/>
          <w:szCs w:val="22"/>
        </w:rPr>
        <w:t xml:space="preserve"> (Yorkshire) PLC </w:t>
      </w:r>
      <w:r w:rsidR="001F4F74" w:rsidRPr="00142E1A">
        <w:rPr>
          <w:rFonts w:cs="Arial"/>
          <w:color w:val="000000" w:themeColor="text1"/>
          <w:szCs w:val="22"/>
        </w:rPr>
        <w:t>and the excludes the area already leased to the library in the lease dated 4</w:t>
      </w:r>
      <w:r w:rsidR="001F4F74" w:rsidRPr="00142E1A">
        <w:rPr>
          <w:rFonts w:cs="Arial"/>
          <w:color w:val="000000" w:themeColor="text1"/>
          <w:szCs w:val="22"/>
          <w:vertAlign w:val="superscript"/>
        </w:rPr>
        <w:t>th</w:t>
      </w:r>
      <w:r w:rsidR="001F4F74" w:rsidRPr="00142E1A">
        <w:rPr>
          <w:rFonts w:cs="Arial"/>
          <w:color w:val="000000" w:themeColor="text1"/>
          <w:szCs w:val="22"/>
        </w:rPr>
        <w:t xml:space="preserve"> August 2017.</w:t>
      </w:r>
    </w:p>
    <w:p w:rsidR="001B32AB" w:rsidRPr="00145FBE" w:rsidRDefault="001B32AB" w:rsidP="004B57DE">
      <w:pPr>
        <w:numPr>
          <w:ilvl w:val="0"/>
          <w:numId w:val="1"/>
        </w:numPr>
        <w:spacing w:after="200" w:line="276" w:lineRule="auto"/>
        <w:contextualSpacing/>
        <w:rPr>
          <w:rFonts w:cs="Arial"/>
          <w:szCs w:val="22"/>
        </w:rPr>
      </w:pPr>
      <w:r w:rsidRPr="00142E1A">
        <w:rPr>
          <w:rFonts w:cs="Arial"/>
          <w:color w:val="000000" w:themeColor="text1"/>
          <w:szCs w:val="22"/>
        </w:rPr>
        <w:t>The lease</w:t>
      </w:r>
      <w:r w:rsidR="00007CE5" w:rsidRPr="00142E1A">
        <w:rPr>
          <w:rFonts w:cs="Arial"/>
          <w:color w:val="000000" w:themeColor="text1"/>
          <w:szCs w:val="22"/>
        </w:rPr>
        <w:t xml:space="preserve"> is</w:t>
      </w:r>
      <w:r w:rsidRPr="00142E1A">
        <w:rPr>
          <w:rFonts w:cs="Arial"/>
          <w:color w:val="000000" w:themeColor="text1"/>
          <w:szCs w:val="22"/>
        </w:rPr>
        <w:t xml:space="preserve"> to be granted for a term of </w:t>
      </w:r>
      <w:r w:rsidR="00445334" w:rsidRPr="00142E1A">
        <w:rPr>
          <w:rFonts w:cs="Arial"/>
          <w:color w:val="000000" w:themeColor="text1"/>
          <w:szCs w:val="22"/>
        </w:rPr>
        <w:t>five years</w:t>
      </w:r>
      <w:r w:rsidRPr="00142E1A">
        <w:rPr>
          <w:rFonts w:cs="Arial"/>
          <w:color w:val="000000" w:themeColor="text1"/>
          <w:szCs w:val="22"/>
        </w:rPr>
        <w:t xml:space="preserve"> from </w:t>
      </w:r>
      <w:r w:rsidR="00514EDD" w:rsidRPr="00142E1A">
        <w:rPr>
          <w:rFonts w:cs="Arial"/>
          <w:color w:val="000000" w:themeColor="text1"/>
          <w:szCs w:val="22"/>
        </w:rPr>
        <w:t>1</w:t>
      </w:r>
      <w:r w:rsidR="00514EDD" w:rsidRPr="00142E1A">
        <w:rPr>
          <w:rFonts w:cs="Arial"/>
          <w:color w:val="000000" w:themeColor="text1"/>
          <w:szCs w:val="22"/>
          <w:vertAlign w:val="superscript"/>
        </w:rPr>
        <w:t>st</w:t>
      </w:r>
      <w:r w:rsidR="00BC4778" w:rsidRPr="00142E1A">
        <w:rPr>
          <w:rFonts w:cs="Arial"/>
          <w:color w:val="000000" w:themeColor="text1"/>
          <w:szCs w:val="22"/>
        </w:rPr>
        <w:t xml:space="preserve"> </w:t>
      </w:r>
      <w:r w:rsidR="00514EDD" w:rsidRPr="00142E1A">
        <w:rPr>
          <w:rFonts w:cs="Arial"/>
          <w:color w:val="000000" w:themeColor="text1"/>
          <w:szCs w:val="22"/>
        </w:rPr>
        <w:t xml:space="preserve">April </w:t>
      </w:r>
      <w:r w:rsidR="00514EDD">
        <w:rPr>
          <w:rFonts w:cs="Arial"/>
          <w:szCs w:val="22"/>
        </w:rPr>
        <w:t>2018</w:t>
      </w:r>
      <w:r>
        <w:rPr>
          <w:rFonts w:cs="Arial"/>
          <w:szCs w:val="22"/>
        </w:rPr>
        <w:t>.</w:t>
      </w:r>
    </w:p>
    <w:p w:rsidR="00BF533A" w:rsidRPr="00145FBE" w:rsidRDefault="00BF533A" w:rsidP="00BF533A">
      <w:pPr>
        <w:numPr>
          <w:ilvl w:val="0"/>
          <w:numId w:val="1"/>
        </w:numPr>
        <w:spacing w:after="200" w:line="276" w:lineRule="auto"/>
        <w:contextualSpacing/>
        <w:rPr>
          <w:rFonts w:cs="Arial"/>
          <w:szCs w:val="22"/>
        </w:rPr>
      </w:pPr>
      <w:r w:rsidRPr="00145FBE">
        <w:rPr>
          <w:rFonts w:cs="Arial"/>
          <w:szCs w:val="22"/>
        </w:rPr>
        <w:t xml:space="preserve">The security of tenure provisions of Part II of the Landlord and Tenant Act 1954 </w:t>
      </w:r>
      <w:r w:rsidR="00445334">
        <w:rPr>
          <w:rFonts w:cs="Arial"/>
          <w:szCs w:val="22"/>
        </w:rPr>
        <w:t>shall not apply</w:t>
      </w:r>
      <w:r w:rsidRPr="00145FBE">
        <w:rPr>
          <w:rFonts w:cs="Arial"/>
          <w:szCs w:val="22"/>
        </w:rPr>
        <w:t>.</w:t>
      </w:r>
    </w:p>
    <w:p w:rsidR="00BF533A" w:rsidRDefault="00445334" w:rsidP="00BF533A">
      <w:pPr>
        <w:numPr>
          <w:ilvl w:val="0"/>
          <w:numId w:val="1"/>
        </w:numPr>
        <w:spacing w:after="200" w:line="276" w:lineRule="auto"/>
        <w:contextualSpacing/>
        <w:rPr>
          <w:rFonts w:cs="Arial"/>
          <w:szCs w:val="22"/>
        </w:rPr>
      </w:pPr>
      <w:r>
        <w:rPr>
          <w:rFonts w:cs="Arial"/>
          <w:szCs w:val="22"/>
        </w:rPr>
        <w:t>Either Party</w:t>
      </w:r>
      <w:r w:rsidR="00BF533A" w:rsidRPr="00145FBE">
        <w:rPr>
          <w:rFonts w:cs="Arial"/>
          <w:szCs w:val="22"/>
        </w:rPr>
        <w:t xml:space="preserve"> may break </w:t>
      </w:r>
      <w:r>
        <w:rPr>
          <w:rFonts w:cs="Arial"/>
          <w:szCs w:val="22"/>
        </w:rPr>
        <w:t xml:space="preserve">the lease at </w:t>
      </w:r>
      <w:r w:rsidR="004B57DE">
        <w:rPr>
          <w:rFonts w:cs="Arial"/>
          <w:szCs w:val="22"/>
        </w:rPr>
        <w:t>any time upon</w:t>
      </w:r>
      <w:r w:rsidR="00DC72F8">
        <w:rPr>
          <w:rFonts w:cs="Arial"/>
          <w:szCs w:val="22"/>
        </w:rPr>
        <w:t xml:space="preserve"> giving the </w:t>
      </w:r>
      <w:r w:rsidR="00BC31BF">
        <w:rPr>
          <w:rFonts w:cs="Arial"/>
          <w:szCs w:val="22"/>
        </w:rPr>
        <w:t>other party</w:t>
      </w:r>
      <w:r w:rsidR="00DC72F8">
        <w:rPr>
          <w:rFonts w:cs="Arial"/>
          <w:szCs w:val="22"/>
        </w:rPr>
        <w:t xml:space="preserve"> </w:t>
      </w:r>
      <w:r w:rsidR="001B32AB">
        <w:rPr>
          <w:rFonts w:cs="Arial"/>
          <w:szCs w:val="22"/>
        </w:rPr>
        <w:t>three</w:t>
      </w:r>
      <w:r w:rsidR="004B57DE">
        <w:rPr>
          <w:rFonts w:cs="Arial"/>
          <w:szCs w:val="22"/>
        </w:rPr>
        <w:t xml:space="preserve"> month’s written </w:t>
      </w:r>
      <w:r>
        <w:rPr>
          <w:rFonts w:cs="Arial"/>
          <w:szCs w:val="22"/>
        </w:rPr>
        <w:t>notice.</w:t>
      </w:r>
    </w:p>
    <w:p w:rsidR="00D91565" w:rsidRDefault="00D91565" w:rsidP="00D91565">
      <w:pPr>
        <w:numPr>
          <w:ilvl w:val="0"/>
          <w:numId w:val="1"/>
        </w:numPr>
        <w:spacing w:after="200" w:line="276" w:lineRule="auto"/>
        <w:contextualSpacing/>
        <w:rPr>
          <w:rFonts w:cs="Arial"/>
          <w:szCs w:val="22"/>
        </w:rPr>
      </w:pPr>
      <w:r w:rsidRPr="00145FBE">
        <w:rPr>
          <w:rFonts w:cs="Arial"/>
          <w:szCs w:val="22"/>
        </w:rPr>
        <w:t>The</w:t>
      </w:r>
      <w:r>
        <w:rPr>
          <w:rFonts w:cs="Arial"/>
          <w:szCs w:val="22"/>
        </w:rPr>
        <w:t xml:space="preserve"> use allowed of the premises</w:t>
      </w:r>
      <w:r w:rsidRPr="00145FBE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is as </w:t>
      </w:r>
      <w:r w:rsidR="00514EDD">
        <w:rPr>
          <w:rFonts w:cs="Arial"/>
          <w:szCs w:val="22"/>
        </w:rPr>
        <w:t xml:space="preserve">a public </w:t>
      </w:r>
      <w:r w:rsidR="00007CE5">
        <w:rPr>
          <w:rFonts w:cs="Arial"/>
          <w:szCs w:val="22"/>
        </w:rPr>
        <w:t>hall, community centre</w:t>
      </w:r>
      <w:r w:rsidR="001F4F74">
        <w:rPr>
          <w:rFonts w:cs="Arial"/>
          <w:szCs w:val="22"/>
        </w:rPr>
        <w:t>, day care facility,</w:t>
      </w:r>
      <w:r w:rsidR="00BC31BF">
        <w:rPr>
          <w:rFonts w:cs="Arial"/>
          <w:szCs w:val="22"/>
        </w:rPr>
        <w:t xml:space="preserve"> car park</w:t>
      </w:r>
      <w:r w:rsidR="00304EB4">
        <w:rPr>
          <w:rFonts w:cs="Arial"/>
          <w:szCs w:val="22"/>
        </w:rPr>
        <w:t xml:space="preserve"> to the library</w:t>
      </w:r>
      <w:r w:rsidR="00007CE5">
        <w:rPr>
          <w:rFonts w:cs="Arial"/>
          <w:szCs w:val="22"/>
        </w:rPr>
        <w:t xml:space="preserve"> and other such uses that may be agreed in writing by the Landlord.</w:t>
      </w:r>
      <w:r w:rsidR="00EC45E6">
        <w:rPr>
          <w:rFonts w:cs="Arial"/>
          <w:szCs w:val="22"/>
        </w:rPr>
        <w:t xml:space="preserve"> Consent for commercial use</w:t>
      </w:r>
      <w:r w:rsidR="00BC31BF">
        <w:rPr>
          <w:rFonts w:cs="Arial"/>
          <w:szCs w:val="22"/>
        </w:rPr>
        <w:t>s</w:t>
      </w:r>
      <w:r w:rsidR="00EC45E6">
        <w:rPr>
          <w:rFonts w:cs="Arial"/>
          <w:szCs w:val="22"/>
        </w:rPr>
        <w:t xml:space="preserve"> will be g</w:t>
      </w:r>
      <w:r w:rsidR="0081076A">
        <w:rPr>
          <w:rFonts w:cs="Arial"/>
          <w:szCs w:val="22"/>
        </w:rPr>
        <w:t xml:space="preserve">ranted </w:t>
      </w:r>
      <w:r w:rsidR="00BC31BF">
        <w:rPr>
          <w:rFonts w:cs="Arial"/>
          <w:szCs w:val="22"/>
        </w:rPr>
        <w:t xml:space="preserve">provided income from </w:t>
      </w:r>
      <w:r w:rsidR="0081076A">
        <w:rPr>
          <w:rFonts w:cs="Arial"/>
          <w:szCs w:val="22"/>
        </w:rPr>
        <w:t>these support the ele</w:t>
      </w:r>
      <w:r w:rsidR="00EC45E6">
        <w:rPr>
          <w:rFonts w:cs="Arial"/>
          <w:szCs w:val="22"/>
        </w:rPr>
        <w:t xml:space="preserve">ments of the building providing community </w:t>
      </w:r>
      <w:r w:rsidR="002C4CE6">
        <w:rPr>
          <w:rFonts w:cs="Arial"/>
          <w:szCs w:val="22"/>
        </w:rPr>
        <w:t>benefit</w:t>
      </w:r>
      <w:r w:rsidR="00EC45E6">
        <w:rPr>
          <w:rFonts w:cs="Arial"/>
          <w:szCs w:val="22"/>
        </w:rPr>
        <w:t>.</w:t>
      </w:r>
    </w:p>
    <w:p w:rsidR="00BF533A" w:rsidRPr="00145FBE" w:rsidRDefault="00BF533A" w:rsidP="00BF533A">
      <w:pPr>
        <w:numPr>
          <w:ilvl w:val="0"/>
          <w:numId w:val="1"/>
        </w:numPr>
        <w:spacing w:after="200" w:line="276" w:lineRule="auto"/>
        <w:contextualSpacing/>
        <w:rPr>
          <w:rFonts w:cs="Arial"/>
          <w:szCs w:val="22"/>
        </w:rPr>
      </w:pPr>
      <w:r w:rsidRPr="00145FBE">
        <w:rPr>
          <w:rFonts w:cs="Arial"/>
          <w:szCs w:val="22"/>
        </w:rPr>
        <w:t xml:space="preserve">The </w:t>
      </w:r>
      <w:r w:rsidRPr="004B57DE">
        <w:rPr>
          <w:rFonts w:cs="Arial"/>
          <w:szCs w:val="22"/>
        </w:rPr>
        <w:t>Annual Rental</w:t>
      </w:r>
      <w:r w:rsidRPr="00145FBE">
        <w:rPr>
          <w:rFonts w:cs="Arial"/>
          <w:szCs w:val="22"/>
        </w:rPr>
        <w:t xml:space="preserve"> for the </w:t>
      </w:r>
      <w:r w:rsidR="00D91565">
        <w:rPr>
          <w:rFonts w:cs="Arial"/>
          <w:szCs w:val="22"/>
        </w:rPr>
        <w:t>Demise</w:t>
      </w:r>
      <w:r w:rsidRPr="00145FBE">
        <w:rPr>
          <w:rFonts w:cs="Arial"/>
          <w:szCs w:val="22"/>
        </w:rPr>
        <w:t xml:space="preserve"> </w:t>
      </w:r>
      <w:r w:rsidR="004B57DE">
        <w:rPr>
          <w:rFonts w:cs="Arial"/>
          <w:szCs w:val="22"/>
        </w:rPr>
        <w:t>shall be one peppercorn (if demanded)</w:t>
      </w:r>
      <w:r w:rsidRPr="00145FBE">
        <w:rPr>
          <w:rFonts w:cs="Arial"/>
          <w:szCs w:val="22"/>
        </w:rPr>
        <w:t>.</w:t>
      </w:r>
    </w:p>
    <w:p w:rsidR="00BF533A" w:rsidRPr="004B57DE" w:rsidRDefault="00C3518A" w:rsidP="00BF533A">
      <w:pPr>
        <w:numPr>
          <w:ilvl w:val="0"/>
          <w:numId w:val="1"/>
        </w:numPr>
        <w:spacing w:after="200" w:line="276" w:lineRule="auto"/>
        <w:contextualSpacing/>
        <w:rPr>
          <w:rFonts w:cs="Arial"/>
          <w:szCs w:val="22"/>
        </w:rPr>
      </w:pPr>
      <w:r>
        <w:rPr>
          <w:rFonts w:cs="Arial"/>
          <w:szCs w:val="22"/>
        </w:rPr>
        <w:t xml:space="preserve">The </w:t>
      </w:r>
      <w:r w:rsidR="00BC31BF">
        <w:rPr>
          <w:rFonts w:cs="Arial"/>
          <w:szCs w:val="22"/>
        </w:rPr>
        <w:t>Landlord</w:t>
      </w:r>
      <w:r w:rsidR="004B57DE">
        <w:rPr>
          <w:rFonts w:cs="Arial"/>
          <w:szCs w:val="22"/>
        </w:rPr>
        <w:t xml:space="preserve"> is to be responsible for insurance</w:t>
      </w:r>
      <w:r w:rsidR="0020637F">
        <w:rPr>
          <w:rFonts w:cs="Arial"/>
          <w:szCs w:val="22"/>
        </w:rPr>
        <w:t xml:space="preserve"> of the </w:t>
      </w:r>
      <w:r>
        <w:rPr>
          <w:rFonts w:cs="Arial"/>
          <w:szCs w:val="22"/>
        </w:rPr>
        <w:t>premises.</w:t>
      </w:r>
    </w:p>
    <w:p w:rsidR="00BF533A" w:rsidRPr="00145FBE" w:rsidRDefault="00BF533A" w:rsidP="00D91565">
      <w:pPr>
        <w:numPr>
          <w:ilvl w:val="0"/>
          <w:numId w:val="1"/>
        </w:numPr>
        <w:spacing w:after="200" w:line="276" w:lineRule="auto"/>
        <w:contextualSpacing/>
        <w:rPr>
          <w:rFonts w:cs="Arial"/>
          <w:szCs w:val="22"/>
        </w:rPr>
      </w:pPr>
      <w:r w:rsidRPr="00145FBE">
        <w:rPr>
          <w:rFonts w:cs="Arial"/>
          <w:szCs w:val="22"/>
        </w:rPr>
        <w:t>The Tenant is to</w:t>
      </w:r>
      <w:r w:rsidR="00D62E11">
        <w:rPr>
          <w:rFonts w:cs="Arial"/>
          <w:szCs w:val="22"/>
        </w:rPr>
        <w:t xml:space="preserve"> be</w:t>
      </w:r>
      <w:r w:rsidRPr="00145FBE">
        <w:rPr>
          <w:rFonts w:cs="Arial"/>
          <w:szCs w:val="22"/>
        </w:rPr>
        <w:t xml:space="preserve"> r</w:t>
      </w:r>
      <w:r w:rsidR="00176128">
        <w:rPr>
          <w:rFonts w:cs="Arial"/>
          <w:szCs w:val="22"/>
        </w:rPr>
        <w:t>esponsible for reinstatement of</w:t>
      </w:r>
      <w:r w:rsidRPr="00145FBE">
        <w:rPr>
          <w:rFonts w:cs="Arial"/>
          <w:szCs w:val="22"/>
        </w:rPr>
        <w:t xml:space="preserve"> uninsured risks where the Tenant</w:t>
      </w:r>
      <w:r w:rsidR="00C3518A">
        <w:rPr>
          <w:rFonts w:cs="Arial"/>
          <w:szCs w:val="22"/>
        </w:rPr>
        <w:t xml:space="preserve"> or its visitor</w:t>
      </w:r>
      <w:r w:rsidR="007470B2">
        <w:rPr>
          <w:rFonts w:cs="Arial"/>
          <w:szCs w:val="22"/>
        </w:rPr>
        <w:t>s,</w:t>
      </w:r>
      <w:r w:rsidR="00C3518A">
        <w:rPr>
          <w:rFonts w:cs="Arial"/>
          <w:szCs w:val="22"/>
        </w:rPr>
        <w:t xml:space="preserve"> be they lawful or not</w:t>
      </w:r>
      <w:r w:rsidR="007470B2">
        <w:rPr>
          <w:rFonts w:cs="Arial"/>
          <w:szCs w:val="22"/>
        </w:rPr>
        <w:t>,</w:t>
      </w:r>
      <w:r w:rsidR="00C3518A">
        <w:rPr>
          <w:rFonts w:cs="Arial"/>
          <w:szCs w:val="22"/>
        </w:rPr>
        <w:t xml:space="preserve"> are</w:t>
      </w:r>
      <w:r w:rsidRPr="00145FBE">
        <w:rPr>
          <w:rFonts w:cs="Arial"/>
          <w:szCs w:val="22"/>
        </w:rPr>
        <w:t xml:space="preserve"> responsible for the damage. </w:t>
      </w:r>
    </w:p>
    <w:p w:rsidR="00BF533A" w:rsidRPr="00D62E11" w:rsidRDefault="00BF533A" w:rsidP="00D91565">
      <w:pPr>
        <w:numPr>
          <w:ilvl w:val="0"/>
          <w:numId w:val="1"/>
        </w:numPr>
        <w:spacing w:after="200" w:line="276" w:lineRule="auto"/>
        <w:contextualSpacing/>
        <w:rPr>
          <w:rFonts w:cs="Arial"/>
          <w:szCs w:val="22"/>
        </w:rPr>
      </w:pPr>
      <w:r w:rsidRPr="00D62E11">
        <w:rPr>
          <w:rFonts w:cs="Arial"/>
          <w:szCs w:val="22"/>
        </w:rPr>
        <w:t>The</w:t>
      </w:r>
      <w:r w:rsidR="00D91565" w:rsidRPr="00D62E11">
        <w:rPr>
          <w:rFonts w:cs="Arial"/>
          <w:szCs w:val="22"/>
        </w:rPr>
        <w:t xml:space="preserve"> Tenant is to have</w:t>
      </w:r>
      <w:r w:rsidRPr="00D62E11">
        <w:rPr>
          <w:rFonts w:cs="Arial"/>
          <w:szCs w:val="22"/>
        </w:rPr>
        <w:t xml:space="preserve"> public liability insurance </w:t>
      </w:r>
      <w:r w:rsidR="00D91565" w:rsidRPr="00D62E11">
        <w:rPr>
          <w:rFonts w:cs="Arial"/>
          <w:szCs w:val="22"/>
        </w:rPr>
        <w:t xml:space="preserve">to a value of not less </w:t>
      </w:r>
      <w:r w:rsidR="00D91565" w:rsidRPr="00142E1A">
        <w:rPr>
          <w:rFonts w:cs="Arial"/>
          <w:color w:val="000000" w:themeColor="text1"/>
          <w:szCs w:val="22"/>
        </w:rPr>
        <w:t>than £</w:t>
      </w:r>
      <w:r w:rsidR="001F4F74" w:rsidRPr="00142E1A">
        <w:rPr>
          <w:rFonts w:cs="Arial"/>
          <w:color w:val="000000" w:themeColor="text1"/>
          <w:szCs w:val="22"/>
        </w:rPr>
        <w:t>10</w:t>
      </w:r>
      <w:r w:rsidR="00D91565" w:rsidRPr="00142E1A">
        <w:rPr>
          <w:rFonts w:cs="Arial"/>
          <w:color w:val="000000" w:themeColor="text1"/>
          <w:szCs w:val="22"/>
        </w:rPr>
        <w:t xml:space="preserve">,000,000 </w:t>
      </w:r>
      <w:r w:rsidR="00131F60" w:rsidRPr="00142E1A">
        <w:rPr>
          <w:rFonts w:cs="Arial"/>
          <w:color w:val="000000" w:themeColor="text1"/>
          <w:szCs w:val="22"/>
        </w:rPr>
        <w:t>(</w:t>
      </w:r>
      <w:r w:rsidR="001F4F74" w:rsidRPr="00142E1A">
        <w:rPr>
          <w:rFonts w:cs="Arial"/>
          <w:color w:val="000000" w:themeColor="text1"/>
          <w:szCs w:val="22"/>
        </w:rPr>
        <w:t>ten</w:t>
      </w:r>
      <w:r w:rsidR="00131F60" w:rsidRPr="00142E1A">
        <w:rPr>
          <w:rFonts w:cs="Arial"/>
          <w:color w:val="000000" w:themeColor="text1"/>
          <w:szCs w:val="22"/>
        </w:rPr>
        <w:t xml:space="preserve"> million pounds) </w:t>
      </w:r>
      <w:r w:rsidR="00D91565" w:rsidRPr="00142E1A">
        <w:rPr>
          <w:rFonts w:cs="Arial"/>
          <w:color w:val="000000" w:themeColor="text1"/>
          <w:szCs w:val="22"/>
        </w:rPr>
        <w:t xml:space="preserve">and are to indemnify the landlord against any claim arising by way </w:t>
      </w:r>
      <w:r w:rsidR="00D91565" w:rsidRPr="00D62E11">
        <w:rPr>
          <w:rFonts w:cs="Arial"/>
          <w:szCs w:val="22"/>
        </w:rPr>
        <w:t>of the Tenants occupation</w:t>
      </w:r>
      <w:r w:rsidR="00176128">
        <w:rPr>
          <w:rFonts w:cs="Arial"/>
          <w:szCs w:val="22"/>
        </w:rPr>
        <w:t xml:space="preserve"> and use</w:t>
      </w:r>
      <w:r w:rsidR="00D91565" w:rsidRPr="00D62E11">
        <w:rPr>
          <w:rFonts w:cs="Arial"/>
          <w:szCs w:val="22"/>
        </w:rPr>
        <w:t xml:space="preserve"> of the Demise howsoever it may arise.</w:t>
      </w:r>
      <w:r w:rsidRPr="00D62E11">
        <w:rPr>
          <w:rFonts w:cs="Arial"/>
          <w:szCs w:val="22"/>
        </w:rPr>
        <w:t xml:space="preserve"> </w:t>
      </w:r>
    </w:p>
    <w:p w:rsidR="00BF533A" w:rsidRPr="00D62E11" w:rsidRDefault="00BF533A" w:rsidP="00D91565">
      <w:pPr>
        <w:numPr>
          <w:ilvl w:val="0"/>
          <w:numId w:val="1"/>
        </w:numPr>
        <w:spacing w:after="200" w:line="276" w:lineRule="auto"/>
        <w:contextualSpacing/>
        <w:rPr>
          <w:rFonts w:cs="Arial"/>
          <w:szCs w:val="22"/>
        </w:rPr>
      </w:pPr>
      <w:r w:rsidRPr="00D62E11">
        <w:rPr>
          <w:rFonts w:cs="Arial"/>
          <w:szCs w:val="22"/>
        </w:rPr>
        <w:t>The</w:t>
      </w:r>
      <w:r w:rsidR="009A5E6E" w:rsidRPr="00D62E11">
        <w:rPr>
          <w:rFonts w:cs="Arial"/>
          <w:szCs w:val="22"/>
        </w:rPr>
        <w:t xml:space="preserve"> Tenant may </w:t>
      </w:r>
      <w:r w:rsidR="00BC31BF">
        <w:rPr>
          <w:rFonts w:cs="Arial"/>
          <w:szCs w:val="22"/>
        </w:rPr>
        <w:t>not assign.</w:t>
      </w:r>
    </w:p>
    <w:p w:rsidR="00BF533A" w:rsidRDefault="00BF533A" w:rsidP="00D91565">
      <w:pPr>
        <w:numPr>
          <w:ilvl w:val="0"/>
          <w:numId w:val="1"/>
        </w:numPr>
        <w:spacing w:after="200" w:line="276" w:lineRule="auto"/>
        <w:contextualSpacing/>
        <w:rPr>
          <w:rFonts w:cs="Arial"/>
          <w:szCs w:val="22"/>
        </w:rPr>
      </w:pPr>
      <w:r w:rsidRPr="00D62E11">
        <w:rPr>
          <w:rFonts w:cs="Arial"/>
          <w:szCs w:val="22"/>
        </w:rPr>
        <w:t xml:space="preserve">The Tenant </w:t>
      </w:r>
      <w:r w:rsidR="000269D0">
        <w:rPr>
          <w:rFonts w:cs="Arial"/>
          <w:szCs w:val="22"/>
        </w:rPr>
        <w:t>may not underlet the whole</w:t>
      </w:r>
      <w:r w:rsidR="00C3518A">
        <w:rPr>
          <w:rFonts w:cs="Arial"/>
          <w:szCs w:val="22"/>
        </w:rPr>
        <w:t>.</w:t>
      </w:r>
    </w:p>
    <w:p w:rsidR="0020637F" w:rsidRPr="00D62E11" w:rsidRDefault="0020637F" w:rsidP="00D91565">
      <w:pPr>
        <w:numPr>
          <w:ilvl w:val="0"/>
          <w:numId w:val="1"/>
        </w:numPr>
        <w:spacing w:after="200" w:line="276" w:lineRule="auto"/>
        <w:contextualSpacing/>
        <w:rPr>
          <w:rFonts w:cs="Arial"/>
          <w:szCs w:val="22"/>
        </w:rPr>
      </w:pPr>
      <w:r>
        <w:rPr>
          <w:rFonts w:cs="Arial"/>
          <w:szCs w:val="22"/>
        </w:rPr>
        <w:t xml:space="preserve">The Tenant may underlet </w:t>
      </w:r>
      <w:r w:rsidR="006F1823">
        <w:rPr>
          <w:rFonts w:cs="Arial"/>
          <w:szCs w:val="22"/>
        </w:rPr>
        <w:t>in part without Landlord’s consent</w:t>
      </w:r>
      <w:r w:rsidR="005F6E90">
        <w:rPr>
          <w:rFonts w:cs="Arial"/>
          <w:szCs w:val="22"/>
        </w:rPr>
        <w:t xml:space="preserve"> such letting as to be excluded from the Landlord and Tenant</w:t>
      </w:r>
      <w:r w:rsidR="00BC31BF">
        <w:rPr>
          <w:rFonts w:cs="Arial"/>
          <w:szCs w:val="22"/>
        </w:rPr>
        <w:t xml:space="preserve"> Act 1954. For the avoidance of doubt no consent is required to grant short licences</w:t>
      </w:r>
      <w:r w:rsidR="000269D0">
        <w:rPr>
          <w:rFonts w:cs="Arial"/>
          <w:szCs w:val="22"/>
        </w:rPr>
        <w:t xml:space="preserve"> of </w:t>
      </w:r>
      <w:r w:rsidR="008D04A8">
        <w:rPr>
          <w:rFonts w:cs="Arial"/>
          <w:szCs w:val="22"/>
        </w:rPr>
        <w:t>not more</w:t>
      </w:r>
      <w:r w:rsidR="000269D0">
        <w:rPr>
          <w:rFonts w:cs="Arial"/>
          <w:szCs w:val="22"/>
        </w:rPr>
        <w:t xml:space="preserve"> than </w:t>
      </w:r>
      <w:r w:rsidR="008D04A8">
        <w:rPr>
          <w:rFonts w:cs="Arial"/>
          <w:szCs w:val="22"/>
        </w:rPr>
        <w:t>twelve</w:t>
      </w:r>
      <w:r w:rsidR="000269D0">
        <w:rPr>
          <w:rFonts w:cs="Arial"/>
          <w:szCs w:val="22"/>
        </w:rPr>
        <w:t xml:space="preserve"> months</w:t>
      </w:r>
      <w:r w:rsidR="00BC31BF">
        <w:rPr>
          <w:rFonts w:cs="Arial"/>
          <w:szCs w:val="22"/>
        </w:rPr>
        <w:t xml:space="preserve"> and </w:t>
      </w:r>
      <w:r w:rsidR="000269D0">
        <w:rPr>
          <w:rFonts w:cs="Arial"/>
          <w:szCs w:val="22"/>
        </w:rPr>
        <w:t xml:space="preserve">for the </w:t>
      </w:r>
      <w:bookmarkStart w:id="0" w:name="_GoBack"/>
      <w:bookmarkEnd w:id="0"/>
      <w:r w:rsidR="00BC31BF">
        <w:rPr>
          <w:rFonts w:cs="Arial"/>
          <w:szCs w:val="22"/>
        </w:rPr>
        <w:t>hire of rooms</w:t>
      </w:r>
      <w:r w:rsidR="000269D0">
        <w:rPr>
          <w:rFonts w:cs="Arial"/>
          <w:szCs w:val="22"/>
        </w:rPr>
        <w:t>.</w:t>
      </w:r>
    </w:p>
    <w:p w:rsidR="00BF533A" w:rsidRDefault="007470B2" w:rsidP="00BF533A">
      <w:pPr>
        <w:numPr>
          <w:ilvl w:val="0"/>
          <w:numId w:val="1"/>
        </w:numPr>
        <w:spacing w:after="200" w:line="276" w:lineRule="auto"/>
        <w:contextualSpacing/>
        <w:rPr>
          <w:rFonts w:cs="Arial"/>
          <w:szCs w:val="22"/>
        </w:rPr>
      </w:pPr>
      <w:r>
        <w:rPr>
          <w:rFonts w:cs="Arial"/>
          <w:szCs w:val="22"/>
        </w:rPr>
        <w:t xml:space="preserve">The </w:t>
      </w:r>
      <w:r w:rsidR="005B58E1">
        <w:rPr>
          <w:rFonts w:cs="Arial"/>
          <w:szCs w:val="22"/>
        </w:rPr>
        <w:t xml:space="preserve">Landlord </w:t>
      </w:r>
      <w:r w:rsidR="00BF533A" w:rsidRPr="00145FBE">
        <w:rPr>
          <w:rFonts w:cs="Arial"/>
          <w:szCs w:val="22"/>
        </w:rPr>
        <w:t xml:space="preserve">is to </w:t>
      </w:r>
      <w:r w:rsidR="00D91565">
        <w:rPr>
          <w:rFonts w:cs="Arial"/>
          <w:szCs w:val="22"/>
        </w:rPr>
        <w:t xml:space="preserve">be responsible for all </w:t>
      </w:r>
      <w:r w:rsidR="00C3518A">
        <w:rPr>
          <w:rFonts w:cs="Arial"/>
          <w:szCs w:val="22"/>
        </w:rPr>
        <w:t>internal and ex</w:t>
      </w:r>
      <w:r w:rsidR="00501985">
        <w:rPr>
          <w:rFonts w:cs="Arial"/>
          <w:szCs w:val="22"/>
        </w:rPr>
        <w:t xml:space="preserve">ternal </w:t>
      </w:r>
      <w:r w:rsidR="00BF533A" w:rsidRPr="00FF25CC">
        <w:rPr>
          <w:rFonts w:cs="Arial"/>
          <w:szCs w:val="22"/>
        </w:rPr>
        <w:t>repair</w:t>
      </w:r>
      <w:r w:rsidR="00D91565" w:rsidRPr="00FF25CC">
        <w:rPr>
          <w:rFonts w:cs="Arial"/>
          <w:szCs w:val="22"/>
        </w:rPr>
        <w:t>s</w:t>
      </w:r>
      <w:r w:rsidR="00C3518A">
        <w:rPr>
          <w:rFonts w:cs="Arial"/>
          <w:szCs w:val="22"/>
        </w:rPr>
        <w:t>.</w:t>
      </w:r>
    </w:p>
    <w:p w:rsidR="00D62E11" w:rsidRDefault="00D62E11" w:rsidP="00BF533A">
      <w:pPr>
        <w:numPr>
          <w:ilvl w:val="0"/>
          <w:numId w:val="1"/>
        </w:numPr>
        <w:spacing w:after="200" w:line="276" w:lineRule="auto"/>
        <w:contextualSpacing/>
        <w:rPr>
          <w:rFonts w:cs="Arial"/>
          <w:szCs w:val="22"/>
        </w:rPr>
      </w:pPr>
      <w:r>
        <w:rPr>
          <w:rFonts w:cs="Arial"/>
          <w:szCs w:val="22"/>
        </w:rPr>
        <w:t xml:space="preserve">The </w:t>
      </w:r>
      <w:r w:rsidR="005B58E1">
        <w:rPr>
          <w:rFonts w:cs="Arial"/>
          <w:szCs w:val="22"/>
        </w:rPr>
        <w:t>Landlord</w:t>
      </w:r>
      <w:r>
        <w:rPr>
          <w:rFonts w:cs="Arial"/>
          <w:szCs w:val="22"/>
        </w:rPr>
        <w:t xml:space="preserve"> is to keep the premises in</w:t>
      </w:r>
      <w:r w:rsidR="000269D0">
        <w:rPr>
          <w:rFonts w:cs="Arial"/>
          <w:szCs w:val="22"/>
        </w:rPr>
        <w:t xml:space="preserve"> no wo</w:t>
      </w:r>
      <w:r w:rsidR="005B58E1">
        <w:rPr>
          <w:rFonts w:cs="Arial"/>
          <w:szCs w:val="22"/>
        </w:rPr>
        <w:t>rse state of</w:t>
      </w:r>
      <w:r>
        <w:rPr>
          <w:rFonts w:cs="Arial"/>
          <w:szCs w:val="22"/>
        </w:rPr>
        <w:t xml:space="preserve"> repair</w:t>
      </w:r>
      <w:r w:rsidR="0055794B">
        <w:rPr>
          <w:rFonts w:cs="Arial"/>
          <w:szCs w:val="22"/>
        </w:rPr>
        <w:t xml:space="preserve"> and decoration</w:t>
      </w:r>
      <w:r w:rsidR="005B58E1">
        <w:rPr>
          <w:rFonts w:cs="Arial"/>
          <w:szCs w:val="22"/>
        </w:rPr>
        <w:t xml:space="preserve">, </w:t>
      </w:r>
      <w:r w:rsidR="000269D0">
        <w:rPr>
          <w:rFonts w:cs="Arial"/>
          <w:szCs w:val="22"/>
        </w:rPr>
        <w:t xml:space="preserve">save for fair </w:t>
      </w:r>
      <w:r w:rsidR="005B58E1">
        <w:rPr>
          <w:rFonts w:cs="Arial"/>
          <w:szCs w:val="22"/>
        </w:rPr>
        <w:t>wear and tear</w:t>
      </w:r>
      <w:r>
        <w:rPr>
          <w:rFonts w:cs="Arial"/>
          <w:szCs w:val="22"/>
        </w:rPr>
        <w:t xml:space="preserve">. </w:t>
      </w:r>
    </w:p>
    <w:p w:rsidR="009B107D" w:rsidRDefault="00BF533A" w:rsidP="00BF533A">
      <w:pPr>
        <w:numPr>
          <w:ilvl w:val="0"/>
          <w:numId w:val="1"/>
        </w:numPr>
        <w:spacing w:after="200" w:line="276" w:lineRule="auto"/>
        <w:contextualSpacing/>
        <w:rPr>
          <w:rFonts w:cs="Arial"/>
          <w:szCs w:val="22"/>
        </w:rPr>
      </w:pPr>
      <w:r w:rsidRPr="00145FBE">
        <w:rPr>
          <w:rFonts w:cs="Arial"/>
          <w:szCs w:val="22"/>
        </w:rPr>
        <w:t xml:space="preserve">The Tenant is permitted to </w:t>
      </w:r>
      <w:r w:rsidR="00C3518A">
        <w:rPr>
          <w:rFonts w:cs="Arial"/>
          <w:szCs w:val="22"/>
        </w:rPr>
        <w:t xml:space="preserve">make minor non-structural </w:t>
      </w:r>
      <w:r w:rsidRPr="00145FBE">
        <w:rPr>
          <w:rFonts w:cs="Arial"/>
          <w:szCs w:val="22"/>
        </w:rPr>
        <w:t>alter</w:t>
      </w:r>
      <w:r w:rsidR="005B58E1">
        <w:rPr>
          <w:rFonts w:cs="Arial"/>
          <w:szCs w:val="22"/>
        </w:rPr>
        <w:t>ations and decorate</w:t>
      </w:r>
      <w:r w:rsidR="00C3518A">
        <w:rPr>
          <w:rFonts w:cs="Arial"/>
          <w:szCs w:val="22"/>
        </w:rPr>
        <w:t xml:space="preserve"> withou</w:t>
      </w:r>
      <w:r w:rsidR="009B107D">
        <w:rPr>
          <w:rFonts w:cs="Arial"/>
          <w:szCs w:val="22"/>
        </w:rPr>
        <w:t>t the Landlord’s consent.</w:t>
      </w:r>
    </w:p>
    <w:p w:rsidR="00BF533A" w:rsidRDefault="009B107D" w:rsidP="00BF533A">
      <w:pPr>
        <w:numPr>
          <w:ilvl w:val="0"/>
          <w:numId w:val="1"/>
        </w:numPr>
        <w:spacing w:after="200" w:line="276" w:lineRule="auto"/>
        <w:contextualSpacing/>
        <w:rPr>
          <w:rFonts w:cs="Arial"/>
          <w:szCs w:val="22"/>
        </w:rPr>
      </w:pPr>
      <w:r>
        <w:rPr>
          <w:rFonts w:cs="Arial"/>
          <w:szCs w:val="22"/>
        </w:rPr>
        <w:t>The Tenant is permitted to make major or structural alterations to</w:t>
      </w:r>
      <w:r w:rsidR="00BF533A" w:rsidRPr="00145FBE">
        <w:rPr>
          <w:rFonts w:cs="Arial"/>
          <w:szCs w:val="22"/>
        </w:rPr>
        <w:t xml:space="preserve"> the premises</w:t>
      </w:r>
      <w:r w:rsidR="003B51E3">
        <w:rPr>
          <w:rFonts w:cs="Arial"/>
          <w:szCs w:val="22"/>
        </w:rPr>
        <w:t xml:space="preserve"> upon written consent of the Landlord, </w:t>
      </w:r>
      <w:r w:rsidR="001B32AB">
        <w:rPr>
          <w:rFonts w:cs="Arial"/>
          <w:szCs w:val="22"/>
        </w:rPr>
        <w:t>this</w:t>
      </w:r>
      <w:r w:rsidR="005B58E1">
        <w:rPr>
          <w:rFonts w:cs="Arial"/>
          <w:szCs w:val="22"/>
        </w:rPr>
        <w:t xml:space="preserve"> consent is</w:t>
      </w:r>
      <w:r w:rsidR="001B32AB">
        <w:rPr>
          <w:rFonts w:cs="Arial"/>
          <w:szCs w:val="22"/>
        </w:rPr>
        <w:t xml:space="preserve"> in addition to </w:t>
      </w:r>
      <w:r w:rsidR="003B51E3">
        <w:rPr>
          <w:rFonts w:cs="Arial"/>
          <w:szCs w:val="22"/>
        </w:rPr>
        <w:t xml:space="preserve">the Tenant </w:t>
      </w:r>
      <w:r w:rsidR="001B32AB">
        <w:rPr>
          <w:rFonts w:cs="Arial"/>
          <w:szCs w:val="22"/>
        </w:rPr>
        <w:t>attaining</w:t>
      </w:r>
      <w:r w:rsidR="003B51E3">
        <w:rPr>
          <w:rFonts w:cs="Arial"/>
          <w:szCs w:val="22"/>
        </w:rPr>
        <w:t xml:space="preserve"> all</w:t>
      </w:r>
      <w:r w:rsidR="001B32AB">
        <w:rPr>
          <w:rFonts w:cs="Arial"/>
          <w:szCs w:val="22"/>
        </w:rPr>
        <w:t xml:space="preserve"> other statutory and non-statutory </w:t>
      </w:r>
      <w:r w:rsidR="003B51E3">
        <w:rPr>
          <w:rFonts w:cs="Arial"/>
          <w:szCs w:val="22"/>
        </w:rPr>
        <w:t>approvals and consents to the alterations.</w:t>
      </w:r>
      <w:r w:rsidR="00BF533A" w:rsidRPr="00145FBE">
        <w:rPr>
          <w:rFonts w:cs="Arial"/>
          <w:szCs w:val="22"/>
        </w:rPr>
        <w:t xml:space="preserve"> </w:t>
      </w:r>
    </w:p>
    <w:p w:rsidR="00A77B48" w:rsidRDefault="00A77B48" w:rsidP="00BF533A">
      <w:pPr>
        <w:numPr>
          <w:ilvl w:val="0"/>
          <w:numId w:val="1"/>
        </w:numPr>
        <w:spacing w:after="200" w:line="276" w:lineRule="auto"/>
        <w:contextualSpacing/>
        <w:rPr>
          <w:rFonts w:cs="Arial"/>
          <w:szCs w:val="22"/>
        </w:rPr>
      </w:pPr>
      <w:r>
        <w:rPr>
          <w:rFonts w:cs="Arial"/>
          <w:szCs w:val="22"/>
        </w:rPr>
        <w:t>The Tenant may erect name signs</w:t>
      </w:r>
      <w:r w:rsidR="001B32AB">
        <w:rPr>
          <w:rFonts w:cs="Arial"/>
          <w:szCs w:val="22"/>
        </w:rPr>
        <w:t>, notice boards etc</w:t>
      </w:r>
      <w:r>
        <w:rPr>
          <w:rFonts w:cs="Arial"/>
          <w:szCs w:val="22"/>
        </w:rPr>
        <w:t xml:space="preserve"> provided all the necessary consents and approval</w:t>
      </w:r>
      <w:r w:rsidR="005D42BF">
        <w:rPr>
          <w:rFonts w:cs="Arial"/>
          <w:szCs w:val="22"/>
        </w:rPr>
        <w:t>s</w:t>
      </w:r>
      <w:r w:rsidR="005B58E1">
        <w:rPr>
          <w:rFonts w:cs="Arial"/>
          <w:szCs w:val="22"/>
        </w:rPr>
        <w:t xml:space="preserve"> are attained and may brand the building in its own name.</w:t>
      </w:r>
    </w:p>
    <w:p w:rsidR="005B58E1" w:rsidRPr="00142E1A" w:rsidRDefault="005B58E1" w:rsidP="00BF533A">
      <w:pPr>
        <w:numPr>
          <w:ilvl w:val="0"/>
          <w:numId w:val="1"/>
        </w:numPr>
        <w:spacing w:after="200" w:line="276" w:lineRule="auto"/>
        <w:contextualSpacing/>
        <w:rPr>
          <w:rFonts w:cs="Arial"/>
          <w:color w:val="000000" w:themeColor="text1"/>
          <w:szCs w:val="22"/>
        </w:rPr>
      </w:pPr>
      <w:r>
        <w:rPr>
          <w:rFonts w:cs="Arial"/>
          <w:szCs w:val="22"/>
        </w:rPr>
        <w:t>The Tenant is to be responsible for cleaning of the premises</w:t>
      </w:r>
      <w:r w:rsidR="001F4F74">
        <w:rPr>
          <w:rFonts w:cs="Arial"/>
          <w:szCs w:val="22"/>
        </w:rPr>
        <w:t xml:space="preserve"> </w:t>
      </w:r>
      <w:r w:rsidR="001F4F74" w:rsidRPr="00142E1A">
        <w:rPr>
          <w:rFonts w:cs="Arial"/>
          <w:color w:val="000000" w:themeColor="text1"/>
          <w:szCs w:val="22"/>
        </w:rPr>
        <w:t>at an estimated cost to them of £4,000) four thousand pounds per annum, or such other sum that they can arrange to do the work for</w:t>
      </w:r>
      <w:r w:rsidRPr="00142E1A">
        <w:rPr>
          <w:rFonts w:cs="Arial"/>
          <w:color w:val="000000" w:themeColor="text1"/>
          <w:szCs w:val="22"/>
        </w:rPr>
        <w:t>.</w:t>
      </w:r>
    </w:p>
    <w:p w:rsidR="000269D0" w:rsidRDefault="000269D0" w:rsidP="00BF533A">
      <w:pPr>
        <w:numPr>
          <w:ilvl w:val="0"/>
          <w:numId w:val="1"/>
        </w:numPr>
        <w:spacing w:after="200" w:line="276" w:lineRule="auto"/>
        <w:contextualSpacing/>
        <w:rPr>
          <w:rFonts w:cs="Arial"/>
          <w:szCs w:val="22"/>
        </w:rPr>
      </w:pPr>
      <w:r>
        <w:rPr>
          <w:rFonts w:cs="Arial"/>
          <w:szCs w:val="22"/>
        </w:rPr>
        <w:t>The Lan</w:t>
      </w:r>
      <w:r w:rsidR="00FC66E5">
        <w:rPr>
          <w:rFonts w:cs="Arial"/>
          <w:szCs w:val="22"/>
        </w:rPr>
        <w:t>d</w:t>
      </w:r>
      <w:r>
        <w:rPr>
          <w:rFonts w:cs="Arial"/>
          <w:szCs w:val="22"/>
        </w:rPr>
        <w:t xml:space="preserve">lord shall be responsible for the disposal of trade waste from the </w:t>
      </w:r>
      <w:r w:rsidR="00176128">
        <w:rPr>
          <w:rFonts w:cs="Arial"/>
          <w:szCs w:val="22"/>
        </w:rPr>
        <w:t>Demise</w:t>
      </w:r>
      <w:r>
        <w:rPr>
          <w:rFonts w:cs="Arial"/>
          <w:szCs w:val="22"/>
        </w:rPr>
        <w:t xml:space="preserve"> so long as it has been generated there.</w:t>
      </w:r>
    </w:p>
    <w:p w:rsidR="00FC66E5" w:rsidRDefault="005B58E1" w:rsidP="00BF533A">
      <w:pPr>
        <w:numPr>
          <w:ilvl w:val="0"/>
          <w:numId w:val="1"/>
        </w:numPr>
        <w:spacing w:after="200" w:line="276" w:lineRule="auto"/>
        <w:contextualSpacing/>
        <w:rPr>
          <w:rFonts w:cs="Arial"/>
          <w:szCs w:val="22"/>
        </w:rPr>
      </w:pPr>
      <w:r>
        <w:rPr>
          <w:rFonts w:cs="Arial"/>
          <w:szCs w:val="22"/>
        </w:rPr>
        <w:t>The Tenant is to grant the Landlord a Licence back</w:t>
      </w:r>
      <w:r w:rsidR="00677BC7">
        <w:rPr>
          <w:rFonts w:cs="Arial"/>
          <w:szCs w:val="22"/>
        </w:rPr>
        <w:t xml:space="preserve"> without the payment of a licence fee</w:t>
      </w:r>
      <w:r w:rsidR="008D04A8">
        <w:rPr>
          <w:rFonts w:cs="Arial"/>
          <w:szCs w:val="22"/>
        </w:rPr>
        <w:t>, unless stated,</w:t>
      </w:r>
      <w:r w:rsidR="00FC66E5">
        <w:rPr>
          <w:rFonts w:cs="Arial"/>
          <w:szCs w:val="22"/>
        </w:rPr>
        <w:t xml:space="preserve"> for the following purposes:</w:t>
      </w:r>
    </w:p>
    <w:p w:rsidR="005B58E1" w:rsidRDefault="00FC66E5" w:rsidP="00FC66E5">
      <w:pPr>
        <w:numPr>
          <w:ilvl w:val="1"/>
          <w:numId w:val="1"/>
        </w:numPr>
        <w:spacing w:after="200" w:line="276" w:lineRule="auto"/>
        <w:contextualSpacing/>
        <w:rPr>
          <w:rFonts w:cs="Arial"/>
          <w:szCs w:val="22"/>
        </w:rPr>
      </w:pPr>
      <w:r>
        <w:rPr>
          <w:rFonts w:cs="Arial"/>
          <w:szCs w:val="22"/>
        </w:rPr>
        <w:lastRenderedPageBreak/>
        <w:t>T</w:t>
      </w:r>
      <w:r w:rsidR="005B58E1">
        <w:rPr>
          <w:rFonts w:cs="Arial"/>
          <w:szCs w:val="22"/>
        </w:rPr>
        <w:t>o occupy that part of the building shown edged blue on the attached plan</w:t>
      </w:r>
      <w:r w:rsidR="00176128">
        <w:rPr>
          <w:rFonts w:cs="Arial"/>
          <w:szCs w:val="22"/>
        </w:rPr>
        <w:t xml:space="preserve"> number </w:t>
      </w:r>
      <w:proofErr w:type="spellStart"/>
      <w:r w:rsidR="00176128">
        <w:rPr>
          <w:rFonts w:cs="Arial"/>
          <w:szCs w:val="22"/>
        </w:rPr>
        <w:t>xxxx</w:t>
      </w:r>
      <w:proofErr w:type="spellEnd"/>
      <w:r w:rsidR="005B58E1">
        <w:rPr>
          <w:rFonts w:cs="Arial"/>
          <w:szCs w:val="22"/>
        </w:rPr>
        <w:t xml:space="preserve"> between 8:30 and 17</w:t>
      </w:r>
      <w:r w:rsidR="00677BC7">
        <w:rPr>
          <w:rFonts w:cs="Arial"/>
          <w:szCs w:val="22"/>
        </w:rPr>
        <w:t xml:space="preserve">:00 Monday to Friday (excluding Bank Holidays). The Landlord </w:t>
      </w:r>
      <w:r>
        <w:rPr>
          <w:rFonts w:cs="Arial"/>
          <w:szCs w:val="22"/>
        </w:rPr>
        <w:t xml:space="preserve">shall be </w:t>
      </w:r>
      <w:r w:rsidR="00141A46">
        <w:rPr>
          <w:rFonts w:cs="Arial"/>
          <w:szCs w:val="22"/>
        </w:rPr>
        <w:t>permitted</w:t>
      </w:r>
      <w:r w:rsidR="00677BC7">
        <w:rPr>
          <w:rFonts w:cs="Arial"/>
          <w:szCs w:val="22"/>
        </w:rPr>
        <w:t xml:space="preserve"> to grant an under-licence if it so wishes which will currently be to Holme Farm Trust (HFT) who are to keep the property clean and tidy after each period of use.</w:t>
      </w:r>
    </w:p>
    <w:p w:rsidR="00596F45" w:rsidRPr="00596F45" w:rsidRDefault="00FC66E5" w:rsidP="00FC66E5">
      <w:pPr>
        <w:numPr>
          <w:ilvl w:val="1"/>
          <w:numId w:val="1"/>
        </w:numPr>
        <w:spacing w:after="200" w:line="276" w:lineRule="auto"/>
        <w:contextualSpacing/>
        <w:rPr>
          <w:rFonts w:cs="Arial"/>
          <w:szCs w:val="22"/>
        </w:rPr>
      </w:pPr>
      <w:r>
        <w:rPr>
          <w:rFonts w:cs="Arial"/>
          <w:szCs w:val="22"/>
        </w:rPr>
        <w:t>T</w:t>
      </w:r>
      <w:r w:rsidR="00596F45" w:rsidRPr="00596F45">
        <w:rPr>
          <w:rFonts w:cs="Arial"/>
          <w:szCs w:val="22"/>
        </w:rPr>
        <w:t>o use the premises as a polling station for local and national elections, referendums, etc.</w:t>
      </w:r>
      <w:r w:rsidR="00812E0E">
        <w:rPr>
          <w:rFonts w:cs="Arial"/>
          <w:szCs w:val="22"/>
        </w:rPr>
        <w:t xml:space="preserve"> paying an appropriate hire charge.</w:t>
      </w:r>
    </w:p>
    <w:p w:rsidR="00596F45" w:rsidRDefault="00FC66E5" w:rsidP="00FC66E5">
      <w:pPr>
        <w:numPr>
          <w:ilvl w:val="1"/>
          <w:numId w:val="1"/>
        </w:numPr>
        <w:spacing w:after="200" w:line="276" w:lineRule="auto"/>
        <w:contextualSpacing/>
        <w:rPr>
          <w:rFonts w:cs="Arial"/>
          <w:szCs w:val="22"/>
        </w:rPr>
      </w:pPr>
      <w:r>
        <w:rPr>
          <w:rFonts w:cs="Arial"/>
          <w:szCs w:val="22"/>
        </w:rPr>
        <w:t>For the</w:t>
      </w:r>
      <w:r w:rsidR="00596F45" w:rsidRPr="00596F45">
        <w:rPr>
          <w:rFonts w:cs="Arial"/>
          <w:szCs w:val="22"/>
        </w:rPr>
        <w:t xml:space="preserve"> use an emergency planning centre</w:t>
      </w:r>
      <w:r w:rsidR="00596F45">
        <w:rPr>
          <w:rFonts w:cs="Arial"/>
          <w:szCs w:val="22"/>
        </w:rPr>
        <w:t xml:space="preserve"> in the event of a major local incident</w:t>
      </w:r>
      <w:r w:rsidR="00812E0E">
        <w:rPr>
          <w:rFonts w:cs="Arial"/>
          <w:szCs w:val="22"/>
        </w:rPr>
        <w:t xml:space="preserve">. </w:t>
      </w:r>
      <w:r w:rsidR="006D1E46">
        <w:rPr>
          <w:rFonts w:cs="Arial"/>
          <w:szCs w:val="22"/>
        </w:rPr>
        <w:t>CBMDC shall pay</w:t>
      </w:r>
      <w:r w:rsidR="00812E0E">
        <w:rPr>
          <w:rFonts w:cs="Arial"/>
          <w:szCs w:val="22"/>
        </w:rPr>
        <w:t xml:space="preserve"> compensation for</w:t>
      </w:r>
      <w:r w:rsidR="006D1E46">
        <w:rPr>
          <w:rFonts w:cs="Arial"/>
          <w:szCs w:val="22"/>
        </w:rPr>
        <w:t xml:space="preserve"> any</w:t>
      </w:r>
      <w:r w:rsidR="00812E0E">
        <w:rPr>
          <w:rFonts w:cs="Arial"/>
          <w:szCs w:val="22"/>
        </w:rPr>
        <w:t xml:space="preserve"> loss income from hires, if demanded.</w:t>
      </w:r>
    </w:p>
    <w:p w:rsidR="00596F45" w:rsidRPr="00142E1A" w:rsidRDefault="00FC66E5" w:rsidP="00FC66E5">
      <w:pPr>
        <w:numPr>
          <w:ilvl w:val="1"/>
          <w:numId w:val="1"/>
        </w:numPr>
        <w:spacing w:after="200" w:line="276" w:lineRule="auto"/>
        <w:contextualSpacing/>
        <w:rPr>
          <w:rFonts w:cs="Arial"/>
          <w:color w:val="000000" w:themeColor="text1"/>
          <w:szCs w:val="22"/>
        </w:rPr>
      </w:pPr>
      <w:r>
        <w:rPr>
          <w:rFonts w:cs="Arial"/>
          <w:szCs w:val="22"/>
        </w:rPr>
        <w:t>T</w:t>
      </w:r>
      <w:r w:rsidR="00596F45">
        <w:rPr>
          <w:rFonts w:cs="Arial"/>
          <w:szCs w:val="22"/>
        </w:rPr>
        <w:t>o deliver Library Services from that part of the building shown edged red o</w:t>
      </w:r>
      <w:r>
        <w:rPr>
          <w:rFonts w:cs="Arial"/>
          <w:szCs w:val="22"/>
        </w:rPr>
        <w:t xml:space="preserve">n plan number </w:t>
      </w:r>
      <w:proofErr w:type="spellStart"/>
      <w:r>
        <w:rPr>
          <w:rFonts w:cs="Arial"/>
          <w:szCs w:val="22"/>
        </w:rPr>
        <w:t>xxxx</w:t>
      </w:r>
      <w:proofErr w:type="spellEnd"/>
      <w:r w:rsidR="00DE6E87">
        <w:rPr>
          <w:rFonts w:cs="Arial"/>
          <w:szCs w:val="22"/>
        </w:rPr>
        <w:t xml:space="preserve"> </w:t>
      </w:r>
      <w:proofErr w:type="gramStart"/>
      <w:r w:rsidR="00DE6E87" w:rsidRPr="00142E1A">
        <w:rPr>
          <w:rFonts w:cs="Arial"/>
          <w:color w:val="000000" w:themeColor="text1"/>
          <w:szCs w:val="22"/>
        </w:rPr>
        <w:t>The</w:t>
      </w:r>
      <w:proofErr w:type="gramEnd"/>
      <w:r w:rsidR="00DE6E87" w:rsidRPr="00142E1A">
        <w:rPr>
          <w:rFonts w:cs="Arial"/>
          <w:color w:val="000000" w:themeColor="text1"/>
          <w:szCs w:val="22"/>
        </w:rPr>
        <w:t xml:space="preserve"> existing S</w:t>
      </w:r>
      <w:r w:rsidR="008C636A" w:rsidRPr="00142E1A">
        <w:rPr>
          <w:rFonts w:cs="Arial"/>
          <w:color w:val="000000" w:themeColor="text1"/>
          <w:szCs w:val="22"/>
        </w:rPr>
        <w:t xml:space="preserve">ervice </w:t>
      </w:r>
      <w:r w:rsidR="00DE6E87" w:rsidRPr="00142E1A">
        <w:rPr>
          <w:rFonts w:cs="Arial"/>
          <w:color w:val="000000" w:themeColor="text1"/>
          <w:szCs w:val="22"/>
        </w:rPr>
        <w:t>L</w:t>
      </w:r>
      <w:r w:rsidR="008C636A" w:rsidRPr="00142E1A">
        <w:rPr>
          <w:rFonts w:cs="Arial"/>
          <w:color w:val="000000" w:themeColor="text1"/>
          <w:szCs w:val="22"/>
        </w:rPr>
        <w:t xml:space="preserve">evel </w:t>
      </w:r>
      <w:r w:rsidR="00DE6E87" w:rsidRPr="00142E1A">
        <w:rPr>
          <w:rFonts w:cs="Arial"/>
          <w:color w:val="000000" w:themeColor="text1"/>
          <w:szCs w:val="22"/>
        </w:rPr>
        <w:t>A</w:t>
      </w:r>
      <w:r w:rsidR="008C636A" w:rsidRPr="00142E1A">
        <w:rPr>
          <w:rFonts w:cs="Arial"/>
          <w:color w:val="000000" w:themeColor="text1"/>
          <w:szCs w:val="22"/>
        </w:rPr>
        <w:t>gr</w:t>
      </w:r>
      <w:r w:rsidR="001F4F74" w:rsidRPr="00142E1A">
        <w:rPr>
          <w:rFonts w:cs="Arial"/>
          <w:color w:val="000000" w:themeColor="text1"/>
          <w:szCs w:val="22"/>
        </w:rPr>
        <w:t>e</w:t>
      </w:r>
      <w:r w:rsidR="008C636A" w:rsidRPr="00142E1A">
        <w:rPr>
          <w:rFonts w:cs="Arial"/>
          <w:color w:val="000000" w:themeColor="text1"/>
          <w:szCs w:val="22"/>
        </w:rPr>
        <w:t>ement</w:t>
      </w:r>
      <w:r w:rsidR="00DE6E87" w:rsidRPr="00142E1A">
        <w:rPr>
          <w:rFonts w:cs="Arial"/>
          <w:color w:val="000000" w:themeColor="text1"/>
          <w:szCs w:val="22"/>
        </w:rPr>
        <w:t xml:space="preserve"> and terms of the </w:t>
      </w:r>
      <w:r w:rsidR="008C636A" w:rsidRPr="00142E1A">
        <w:rPr>
          <w:rFonts w:cs="Arial"/>
          <w:color w:val="000000" w:themeColor="text1"/>
          <w:szCs w:val="22"/>
        </w:rPr>
        <w:t>lease</w:t>
      </w:r>
      <w:r w:rsidR="00DE6E87" w:rsidRPr="00142E1A">
        <w:rPr>
          <w:rFonts w:cs="Arial"/>
          <w:color w:val="000000" w:themeColor="text1"/>
          <w:szCs w:val="22"/>
        </w:rPr>
        <w:t xml:space="preserve"> between BTC &amp; Library</w:t>
      </w:r>
      <w:r w:rsidR="008C636A" w:rsidRPr="00142E1A">
        <w:rPr>
          <w:rFonts w:cs="Arial"/>
          <w:color w:val="000000" w:themeColor="text1"/>
          <w:szCs w:val="22"/>
        </w:rPr>
        <w:t xml:space="preserve"> Service</w:t>
      </w:r>
      <w:r w:rsidR="00DE6E87" w:rsidRPr="00142E1A">
        <w:rPr>
          <w:rFonts w:cs="Arial"/>
          <w:color w:val="000000" w:themeColor="text1"/>
          <w:szCs w:val="22"/>
        </w:rPr>
        <w:t xml:space="preserve"> </w:t>
      </w:r>
      <w:r w:rsidR="008C636A" w:rsidRPr="00142E1A">
        <w:rPr>
          <w:rFonts w:cs="Arial"/>
          <w:color w:val="000000" w:themeColor="text1"/>
          <w:szCs w:val="22"/>
        </w:rPr>
        <w:t>is to remain in place with BTC not</w:t>
      </w:r>
      <w:r w:rsidR="00DE6E87" w:rsidRPr="00142E1A">
        <w:rPr>
          <w:rFonts w:cs="Arial"/>
          <w:color w:val="000000" w:themeColor="text1"/>
          <w:szCs w:val="22"/>
        </w:rPr>
        <w:t xml:space="preserve"> pick</w:t>
      </w:r>
      <w:r w:rsidR="008C636A" w:rsidRPr="00142E1A">
        <w:rPr>
          <w:rFonts w:cs="Arial"/>
          <w:color w:val="000000" w:themeColor="text1"/>
          <w:szCs w:val="22"/>
        </w:rPr>
        <w:t>ing up any additional costs.</w:t>
      </w:r>
      <w:r w:rsidR="00DE6E87" w:rsidRPr="00142E1A">
        <w:rPr>
          <w:rFonts w:cs="Arial"/>
          <w:color w:val="000000" w:themeColor="text1"/>
          <w:szCs w:val="22"/>
        </w:rPr>
        <w:t xml:space="preserve"> </w:t>
      </w:r>
    </w:p>
    <w:p w:rsidR="00176128" w:rsidRDefault="00176128" w:rsidP="00FC66E5">
      <w:pPr>
        <w:numPr>
          <w:ilvl w:val="1"/>
          <w:numId w:val="1"/>
        </w:numPr>
        <w:spacing w:after="200" w:line="276" w:lineRule="auto"/>
        <w:contextualSpacing/>
        <w:rPr>
          <w:rFonts w:cs="Arial"/>
          <w:szCs w:val="22"/>
        </w:rPr>
      </w:pPr>
      <w:r>
        <w:rPr>
          <w:rFonts w:cs="Arial"/>
          <w:szCs w:val="22"/>
        </w:rPr>
        <w:t xml:space="preserve">To deliver youth services from </w:t>
      </w:r>
      <w:r w:rsidR="00111CFA">
        <w:rPr>
          <w:rFonts w:cs="Arial"/>
          <w:szCs w:val="22"/>
        </w:rPr>
        <w:t xml:space="preserve">the area edged red on plan number </w:t>
      </w:r>
      <w:proofErr w:type="spellStart"/>
      <w:r w:rsidR="00111CFA">
        <w:rPr>
          <w:rFonts w:cs="Arial"/>
          <w:szCs w:val="22"/>
        </w:rPr>
        <w:t>xxxx</w:t>
      </w:r>
      <w:proofErr w:type="spellEnd"/>
      <w:r>
        <w:rPr>
          <w:rFonts w:cs="Arial"/>
          <w:szCs w:val="22"/>
        </w:rPr>
        <w:t xml:space="preserve"> </w:t>
      </w:r>
      <w:r w:rsidR="00111CFA">
        <w:rPr>
          <w:rFonts w:cs="Arial"/>
          <w:szCs w:val="22"/>
        </w:rPr>
        <w:t>on a Monday evening between 18:00 and 21:00. The premises are to be left clean and tidy after each session.</w:t>
      </w:r>
    </w:p>
    <w:p w:rsidR="00FC66E5" w:rsidRPr="00142E1A" w:rsidRDefault="00596F45" w:rsidP="00596F45">
      <w:pPr>
        <w:numPr>
          <w:ilvl w:val="0"/>
          <w:numId w:val="1"/>
        </w:numPr>
        <w:spacing w:after="200" w:line="276" w:lineRule="auto"/>
        <w:contextualSpacing/>
        <w:rPr>
          <w:rFonts w:cs="Arial"/>
          <w:color w:val="000000" w:themeColor="text1"/>
          <w:szCs w:val="22"/>
        </w:rPr>
      </w:pPr>
      <w:r>
        <w:rPr>
          <w:rFonts w:cs="Arial"/>
          <w:szCs w:val="22"/>
        </w:rPr>
        <w:t>The Tenant is to be responsible for the day-to</w:t>
      </w:r>
      <w:r w:rsidR="00176128">
        <w:rPr>
          <w:rFonts w:cs="Arial"/>
          <w:szCs w:val="22"/>
        </w:rPr>
        <w:t>-</w:t>
      </w:r>
      <w:r>
        <w:rPr>
          <w:rFonts w:cs="Arial"/>
          <w:szCs w:val="22"/>
        </w:rPr>
        <w:t>day management of the building</w:t>
      </w:r>
      <w:r w:rsidR="00D47323">
        <w:rPr>
          <w:rFonts w:cs="Arial"/>
          <w:szCs w:val="22"/>
        </w:rPr>
        <w:t>,</w:t>
      </w:r>
      <w:r w:rsidR="00176128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it</w:t>
      </w:r>
      <w:r w:rsidR="00FC66E5">
        <w:rPr>
          <w:rFonts w:cs="Arial"/>
          <w:szCs w:val="22"/>
        </w:rPr>
        <w:t>s</w:t>
      </w:r>
      <w:r>
        <w:rPr>
          <w:rFonts w:cs="Arial"/>
          <w:szCs w:val="22"/>
        </w:rPr>
        <w:t xml:space="preserve"> lettings</w:t>
      </w:r>
      <w:r w:rsidR="00FC66E5">
        <w:rPr>
          <w:rFonts w:cs="Arial"/>
          <w:szCs w:val="22"/>
        </w:rPr>
        <w:t xml:space="preserve"> as a public hall</w:t>
      </w:r>
      <w:r w:rsidR="00EE21A8">
        <w:rPr>
          <w:rFonts w:cs="Arial"/>
          <w:szCs w:val="22"/>
        </w:rPr>
        <w:t xml:space="preserve"> and</w:t>
      </w:r>
      <w:r w:rsidR="00812E0E">
        <w:rPr>
          <w:rFonts w:cs="Arial"/>
          <w:szCs w:val="22"/>
        </w:rPr>
        <w:t xml:space="preserve"> collection of hire fees which are to be passed</w:t>
      </w:r>
      <w:r w:rsidR="008D04A8">
        <w:rPr>
          <w:rFonts w:cs="Arial"/>
          <w:szCs w:val="22"/>
        </w:rPr>
        <w:t xml:space="preserve"> in full</w:t>
      </w:r>
      <w:r w:rsidR="00812E0E">
        <w:rPr>
          <w:rFonts w:cs="Arial"/>
          <w:szCs w:val="22"/>
        </w:rPr>
        <w:t xml:space="preserve"> to the Landlord up to the sum </w:t>
      </w:r>
      <w:r w:rsidR="00812E0E" w:rsidRPr="00142E1A">
        <w:rPr>
          <w:rFonts w:cs="Arial"/>
          <w:color w:val="000000" w:themeColor="text1"/>
          <w:szCs w:val="22"/>
        </w:rPr>
        <w:t>of £</w:t>
      </w:r>
      <w:r w:rsidR="001F4F74" w:rsidRPr="00142E1A">
        <w:rPr>
          <w:rFonts w:cs="Arial"/>
          <w:color w:val="000000" w:themeColor="text1"/>
          <w:szCs w:val="22"/>
        </w:rPr>
        <w:t>12,000 (twelve thousand pounds)</w:t>
      </w:r>
      <w:r w:rsidR="00BC499D" w:rsidRPr="00142E1A">
        <w:rPr>
          <w:rFonts w:cs="Arial"/>
          <w:color w:val="000000" w:themeColor="text1"/>
          <w:szCs w:val="22"/>
        </w:rPr>
        <w:t xml:space="preserve"> </w:t>
      </w:r>
      <w:r w:rsidR="008D04A8">
        <w:rPr>
          <w:rFonts w:cs="Arial"/>
          <w:szCs w:val="22"/>
        </w:rPr>
        <w:t>any letting fees ra</w:t>
      </w:r>
      <w:r w:rsidR="00EE21A8">
        <w:rPr>
          <w:rFonts w:cs="Arial"/>
          <w:szCs w:val="22"/>
        </w:rPr>
        <w:t>ised above this</w:t>
      </w:r>
      <w:r w:rsidR="00BC499D">
        <w:rPr>
          <w:rFonts w:cs="Arial"/>
          <w:szCs w:val="22"/>
        </w:rPr>
        <w:t xml:space="preserve"> shall </w:t>
      </w:r>
      <w:r w:rsidR="00EE21A8">
        <w:rPr>
          <w:rFonts w:cs="Arial"/>
          <w:szCs w:val="22"/>
        </w:rPr>
        <w:t>be ke</w:t>
      </w:r>
      <w:r w:rsidR="00BC499D">
        <w:rPr>
          <w:rFonts w:cs="Arial"/>
          <w:szCs w:val="22"/>
        </w:rPr>
        <w:t>p</w:t>
      </w:r>
      <w:r w:rsidR="00EE21A8">
        <w:rPr>
          <w:rFonts w:cs="Arial"/>
          <w:szCs w:val="22"/>
        </w:rPr>
        <w:t>t</w:t>
      </w:r>
      <w:r w:rsidR="00BC499D">
        <w:rPr>
          <w:rFonts w:cs="Arial"/>
          <w:szCs w:val="22"/>
        </w:rPr>
        <w:t xml:space="preserve"> </w:t>
      </w:r>
      <w:r w:rsidR="00EE21A8">
        <w:rPr>
          <w:rFonts w:cs="Arial"/>
          <w:szCs w:val="22"/>
        </w:rPr>
        <w:t>by the Tenant</w:t>
      </w:r>
      <w:r w:rsidR="00EE21A8" w:rsidRPr="00142E1A">
        <w:rPr>
          <w:rFonts w:cs="Arial"/>
          <w:color w:val="000000" w:themeColor="text1"/>
          <w:szCs w:val="22"/>
        </w:rPr>
        <w:t>.</w:t>
      </w:r>
      <w:r w:rsidR="00DE6E87" w:rsidRPr="00142E1A">
        <w:rPr>
          <w:rFonts w:cs="Arial"/>
          <w:color w:val="000000" w:themeColor="text1"/>
          <w:szCs w:val="22"/>
        </w:rPr>
        <w:t xml:space="preserve"> </w:t>
      </w:r>
      <w:r w:rsidR="008C636A" w:rsidRPr="00142E1A">
        <w:rPr>
          <w:rFonts w:cs="Arial"/>
          <w:color w:val="000000" w:themeColor="text1"/>
          <w:szCs w:val="22"/>
        </w:rPr>
        <w:t>Payable</w:t>
      </w:r>
      <w:r w:rsidR="00DE6E87" w:rsidRPr="00142E1A">
        <w:rPr>
          <w:rFonts w:cs="Arial"/>
          <w:color w:val="000000" w:themeColor="text1"/>
          <w:szCs w:val="22"/>
        </w:rPr>
        <w:t xml:space="preserve"> in arrears on the 30</w:t>
      </w:r>
      <w:r w:rsidR="00DE6E87" w:rsidRPr="00142E1A">
        <w:rPr>
          <w:rFonts w:cs="Arial"/>
          <w:color w:val="000000" w:themeColor="text1"/>
          <w:szCs w:val="22"/>
          <w:vertAlign w:val="superscript"/>
        </w:rPr>
        <w:t>th</w:t>
      </w:r>
      <w:r w:rsidR="00DE6E87" w:rsidRPr="00142E1A">
        <w:rPr>
          <w:rFonts w:cs="Arial"/>
          <w:color w:val="000000" w:themeColor="text1"/>
          <w:szCs w:val="22"/>
        </w:rPr>
        <w:t xml:space="preserve"> of September 2018 and 31</w:t>
      </w:r>
      <w:r w:rsidR="00DE6E87" w:rsidRPr="00142E1A">
        <w:rPr>
          <w:rFonts w:cs="Arial"/>
          <w:color w:val="000000" w:themeColor="text1"/>
          <w:szCs w:val="22"/>
          <w:vertAlign w:val="superscript"/>
        </w:rPr>
        <w:t>st</w:t>
      </w:r>
      <w:r w:rsidR="00DE6E87" w:rsidRPr="00142E1A">
        <w:rPr>
          <w:rFonts w:cs="Arial"/>
          <w:color w:val="000000" w:themeColor="text1"/>
          <w:szCs w:val="22"/>
        </w:rPr>
        <w:t xml:space="preserve"> of March 2019 (within the financial year)</w:t>
      </w:r>
      <w:r w:rsidR="008C636A" w:rsidRPr="00142E1A">
        <w:rPr>
          <w:rFonts w:cs="Arial"/>
          <w:color w:val="000000" w:themeColor="text1"/>
          <w:szCs w:val="22"/>
        </w:rPr>
        <w:t>.</w:t>
      </w:r>
    </w:p>
    <w:p w:rsidR="00596F45" w:rsidRPr="00142E1A" w:rsidRDefault="00FC66E5" w:rsidP="00596F45">
      <w:pPr>
        <w:numPr>
          <w:ilvl w:val="0"/>
          <w:numId w:val="1"/>
        </w:numPr>
        <w:spacing w:after="200" w:line="276" w:lineRule="auto"/>
        <w:contextualSpacing/>
        <w:rPr>
          <w:rFonts w:cs="Arial"/>
          <w:color w:val="000000" w:themeColor="text1"/>
          <w:szCs w:val="22"/>
        </w:rPr>
      </w:pPr>
      <w:r w:rsidRPr="00142E1A">
        <w:rPr>
          <w:rFonts w:cs="Arial"/>
          <w:color w:val="000000" w:themeColor="text1"/>
          <w:szCs w:val="22"/>
        </w:rPr>
        <w:t>The Tenant shall contribute a sum of £</w:t>
      </w:r>
      <w:r w:rsidR="008C636A" w:rsidRPr="00142E1A">
        <w:rPr>
          <w:rFonts w:cs="Arial"/>
          <w:color w:val="000000" w:themeColor="text1"/>
          <w:szCs w:val="22"/>
        </w:rPr>
        <w:t>7,3</w:t>
      </w:r>
      <w:r w:rsidR="00812E0E" w:rsidRPr="00142E1A">
        <w:rPr>
          <w:rFonts w:cs="Arial"/>
          <w:color w:val="000000" w:themeColor="text1"/>
          <w:szCs w:val="22"/>
        </w:rPr>
        <w:t>00</w:t>
      </w:r>
      <w:r w:rsidRPr="00142E1A">
        <w:rPr>
          <w:rFonts w:cs="Arial"/>
          <w:color w:val="000000" w:themeColor="text1"/>
          <w:szCs w:val="22"/>
        </w:rPr>
        <w:t xml:space="preserve"> (</w:t>
      </w:r>
      <w:r w:rsidR="001F4F74" w:rsidRPr="00142E1A">
        <w:rPr>
          <w:rFonts w:cs="Arial"/>
          <w:color w:val="000000" w:themeColor="text1"/>
          <w:szCs w:val="22"/>
        </w:rPr>
        <w:t>seven</w:t>
      </w:r>
      <w:r w:rsidRPr="00142E1A">
        <w:rPr>
          <w:rFonts w:cs="Arial"/>
          <w:color w:val="000000" w:themeColor="text1"/>
          <w:szCs w:val="22"/>
        </w:rPr>
        <w:t xml:space="preserve"> thousand </w:t>
      </w:r>
      <w:r w:rsidR="008C636A" w:rsidRPr="00142E1A">
        <w:rPr>
          <w:rFonts w:cs="Arial"/>
          <w:color w:val="000000" w:themeColor="text1"/>
          <w:szCs w:val="22"/>
        </w:rPr>
        <w:t>three</w:t>
      </w:r>
      <w:r w:rsidRPr="00142E1A">
        <w:rPr>
          <w:rFonts w:cs="Arial"/>
          <w:color w:val="000000" w:themeColor="text1"/>
          <w:szCs w:val="22"/>
        </w:rPr>
        <w:t xml:space="preserve"> hundred pounds) </w:t>
      </w:r>
      <w:r w:rsidR="00D47323" w:rsidRPr="00142E1A">
        <w:rPr>
          <w:rFonts w:cs="Arial"/>
          <w:color w:val="000000" w:themeColor="text1"/>
          <w:szCs w:val="22"/>
        </w:rPr>
        <w:t>per annum</w:t>
      </w:r>
      <w:r w:rsidR="00176128" w:rsidRPr="00142E1A">
        <w:rPr>
          <w:rFonts w:cs="Arial"/>
          <w:color w:val="000000" w:themeColor="text1"/>
          <w:szCs w:val="22"/>
        </w:rPr>
        <w:t>, or such other amount which may</w:t>
      </w:r>
      <w:r w:rsidR="00D47323" w:rsidRPr="00142E1A">
        <w:rPr>
          <w:rFonts w:cs="Arial"/>
          <w:color w:val="000000" w:themeColor="text1"/>
          <w:szCs w:val="22"/>
        </w:rPr>
        <w:t xml:space="preserve"> be agreed in writing, </w:t>
      </w:r>
      <w:r w:rsidRPr="00142E1A">
        <w:rPr>
          <w:rFonts w:cs="Arial"/>
          <w:color w:val="000000" w:themeColor="text1"/>
          <w:szCs w:val="22"/>
        </w:rPr>
        <w:t>toward</w:t>
      </w:r>
      <w:r w:rsidR="00D47323" w:rsidRPr="00142E1A">
        <w:rPr>
          <w:rFonts w:cs="Arial"/>
          <w:color w:val="000000" w:themeColor="text1"/>
          <w:szCs w:val="22"/>
        </w:rPr>
        <w:t>s</w:t>
      </w:r>
      <w:r w:rsidRPr="00142E1A">
        <w:rPr>
          <w:rFonts w:cs="Arial"/>
          <w:color w:val="000000" w:themeColor="text1"/>
          <w:szCs w:val="22"/>
        </w:rPr>
        <w:t xml:space="preserve"> </w:t>
      </w:r>
      <w:r w:rsidR="00D47323" w:rsidRPr="00142E1A">
        <w:rPr>
          <w:rFonts w:cs="Arial"/>
          <w:color w:val="000000" w:themeColor="text1"/>
          <w:szCs w:val="22"/>
        </w:rPr>
        <w:t xml:space="preserve">the running costs of the Demise, payable </w:t>
      </w:r>
      <w:r w:rsidR="00812E0E" w:rsidRPr="00142E1A">
        <w:rPr>
          <w:rFonts w:cs="Arial"/>
          <w:color w:val="000000" w:themeColor="text1"/>
          <w:szCs w:val="22"/>
        </w:rPr>
        <w:t xml:space="preserve">on the </w:t>
      </w:r>
      <w:r w:rsidR="00DE6E87" w:rsidRPr="00142E1A">
        <w:rPr>
          <w:rFonts w:cs="Arial"/>
          <w:color w:val="000000" w:themeColor="text1"/>
          <w:szCs w:val="22"/>
        </w:rPr>
        <w:t>30</w:t>
      </w:r>
      <w:r w:rsidR="00DE6E87" w:rsidRPr="00142E1A">
        <w:rPr>
          <w:rFonts w:cs="Arial"/>
          <w:color w:val="000000" w:themeColor="text1"/>
          <w:szCs w:val="22"/>
          <w:vertAlign w:val="superscript"/>
        </w:rPr>
        <w:t>th</w:t>
      </w:r>
      <w:r w:rsidR="008C636A" w:rsidRPr="00142E1A">
        <w:rPr>
          <w:rFonts w:cs="Arial"/>
          <w:color w:val="000000" w:themeColor="text1"/>
          <w:szCs w:val="22"/>
        </w:rPr>
        <w:t xml:space="preserve"> September</w:t>
      </w:r>
      <w:r w:rsidR="00D47323" w:rsidRPr="00142E1A">
        <w:rPr>
          <w:rFonts w:cs="Arial"/>
          <w:color w:val="000000" w:themeColor="text1"/>
          <w:szCs w:val="22"/>
        </w:rPr>
        <w:t xml:space="preserve"> </w:t>
      </w:r>
      <w:r w:rsidR="00812E0E" w:rsidRPr="00142E1A">
        <w:rPr>
          <w:rFonts w:cs="Arial"/>
          <w:color w:val="000000" w:themeColor="text1"/>
          <w:szCs w:val="22"/>
        </w:rPr>
        <w:t>each year</w:t>
      </w:r>
      <w:r w:rsidR="00D47323" w:rsidRPr="00142E1A">
        <w:rPr>
          <w:rFonts w:cs="Arial"/>
          <w:color w:val="000000" w:themeColor="text1"/>
          <w:szCs w:val="22"/>
        </w:rPr>
        <w:t>.</w:t>
      </w:r>
      <w:r w:rsidR="008C636A" w:rsidRPr="00142E1A">
        <w:rPr>
          <w:rFonts w:cs="Arial"/>
          <w:color w:val="000000" w:themeColor="text1"/>
          <w:szCs w:val="22"/>
        </w:rPr>
        <w:t xml:space="preserve"> </w:t>
      </w:r>
    </w:p>
    <w:p w:rsidR="00A77B48" w:rsidRPr="00142E1A" w:rsidRDefault="00A77B48" w:rsidP="00BF533A">
      <w:pPr>
        <w:numPr>
          <w:ilvl w:val="0"/>
          <w:numId w:val="1"/>
        </w:numPr>
        <w:spacing w:after="200" w:line="276" w:lineRule="auto"/>
        <w:contextualSpacing/>
        <w:rPr>
          <w:rFonts w:cs="Arial"/>
          <w:color w:val="000000" w:themeColor="text1"/>
          <w:szCs w:val="22"/>
        </w:rPr>
      </w:pPr>
      <w:r w:rsidRPr="00142E1A">
        <w:rPr>
          <w:rFonts w:cs="Arial"/>
          <w:color w:val="000000" w:themeColor="text1"/>
          <w:szCs w:val="22"/>
        </w:rPr>
        <w:t>The Tenant shall have a right of Quiet Enjoyment.</w:t>
      </w:r>
    </w:p>
    <w:p w:rsidR="00176128" w:rsidRDefault="00176128" w:rsidP="00BF533A">
      <w:pPr>
        <w:spacing w:after="200" w:line="276" w:lineRule="auto"/>
        <w:rPr>
          <w:rFonts w:cs="Arial"/>
          <w:szCs w:val="22"/>
        </w:rPr>
      </w:pPr>
    </w:p>
    <w:p w:rsidR="005F7550" w:rsidRDefault="0055794B" w:rsidP="00BF533A">
      <w:pPr>
        <w:spacing w:after="200" w:line="276" w:lineRule="auto"/>
        <w:rPr>
          <w:rFonts w:cs="Arial"/>
          <w:szCs w:val="22"/>
        </w:rPr>
      </w:pPr>
      <w:r>
        <w:rPr>
          <w:rFonts w:cs="Arial"/>
          <w:szCs w:val="22"/>
        </w:rPr>
        <w:t>You are recommended to seek you</w:t>
      </w:r>
      <w:r w:rsidR="006D7A86">
        <w:rPr>
          <w:rFonts w:cs="Arial"/>
          <w:szCs w:val="22"/>
        </w:rPr>
        <w:t>r</w:t>
      </w:r>
      <w:r>
        <w:rPr>
          <w:rFonts w:cs="Arial"/>
          <w:szCs w:val="22"/>
        </w:rPr>
        <w:t xml:space="preserve"> own independent advice.</w:t>
      </w:r>
      <w:r w:rsidR="00D20BBB">
        <w:rPr>
          <w:rFonts w:cs="Arial"/>
          <w:szCs w:val="22"/>
        </w:rPr>
        <w:t xml:space="preserve"> If you are satisfied with the heads of term</w:t>
      </w:r>
      <w:r w:rsidR="007470B2">
        <w:rPr>
          <w:rFonts w:cs="Arial"/>
          <w:szCs w:val="22"/>
        </w:rPr>
        <w:t>s</w:t>
      </w:r>
      <w:r w:rsidR="00D20BBB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w</w:t>
      </w:r>
      <w:r w:rsidR="00C66D94">
        <w:rPr>
          <w:rFonts w:cs="Arial"/>
          <w:szCs w:val="22"/>
        </w:rPr>
        <w:t xml:space="preserve">ould you please </w:t>
      </w:r>
      <w:r w:rsidR="004A4DFD">
        <w:rPr>
          <w:rFonts w:cs="Arial"/>
          <w:szCs w:val="22"/>
        </w:rPr>
        <w:t>confirm your agreement</w:t>
      </w:r>
      <w:r w:rsidR="00501985">
        <w:rPr>
          <w:rFonts w:cs="Arial"/>
          <w:szCs w:val="22"/>
        </w:rPr>
        <w:t xml:space="preserve"> </w:t>
      </w:r>
      <w:r w:rsidR="00596F45">
        <w:rPr>
          <w:rFonts w:cs="Arial"/>
          <w:szCs w:val="22"/>
        </w:rPr>
        <w:t xml:space="preserve">to these in writing </w:t>
      </w:r>
      <w:r w:rsidR="00501985">
        <w:rPr>
          <w:rFonts w:cs="Arial"/>
          <w:szCs w:val="22"/>
        </w:rPr>
        <w:t>and</w:t>
      </w:r>
      <w:r>
        <w:rPr>
          <w:rFonts w:cs="Arial"/>
          <w:szCs w:val="22"/>
        </w:rPr>
        <w:t xml:space="preserve"> provide details of the solicitors who are to act upon your behalf. </w:t>
      </w:r>
    </w:p>
    <w:p w:rsidR="00FF25CC" w:rsidRDefault="00FF25CC" w:rsidP="00BF533A">
      <w:pPr>
        <w:spacing w:after="200" w:line="276" w:lineRule="auto"/>
        <w:rPr>
          <w:rFonts w:cs="Arial"/>
          <w:szCs w:val="22"/>
        </w:rPr>
      </w:pPr>
      <w:r>
        <w:rPr>
          <w:rFonts w:cs="Arial"/>
          <w:szCs w:val="22"/>
        </w:rPr>
        <w:t>Upon completion of the CAT</w:t>
      </w:r>
      <w:r w:rsidR="005F7550">
        <w:rPr>
          <w:rFonts w:cs="Arial"/>
          <w:szCs w:val="22"/>
        </w:rPr>
        <w:t xml:space="preserve"> lease a</w:t>
      </w:r>
      <w:r>
        <w:rPr>
          <w:rFonts w:cs="Arial"/>
          <w:szCs w:val="22"/>
        </w:rPr>
        <w:t>greement the Council will contribute £1,000 (one thousand pounds) towards the Tenant</w:t>
      </w:r>
      <w:r w:rsidR="00596F45">
        <w:rPr>
          <w:rFonts w:cs="Arial"/>
          <w:szCs w:val="22"/>
        </w:rPr>
        <w:t>’</w:t>
      </w:r>
      <w:r>
        <w:rPr>
          <w:rFonts w:cs="Arial"/>
          <w:szCs w:val="22"/>
        </w:rPr>
        <w:t>s legal costs</w:t>
      </w:r>
      <w:r w:rsidR="00141A46">
        <w:rPr>
          <w:rFonts w:cs="Arial"/>
          <w:szCs w:val="22"/>
        </w:rPr>
        <w:t>.</w:t>
      </w:r>
    </w:p>
    <w:p w:rsidR="008D04A8" w:rsidRDefault="008D04A8" w:rsidP="00BF533A">
      <w:pPr>
        <w:spacing w:after="200" w:line="276" w:lineRule="auto"/>
        <w:rPr>
          <w:rFonts w:cs="Arial"/>
          <w:szCs w:val="22"/>
        </w:rPr>
      </w:pPr>
      <w:r>
        <w:rPr>
          <w:rFonts w:cs="Arial"/>
          <w:szCs w:val="22"/>
        </w:rPr>
        <w:t>Should the lease outlined above not be completed by the 31</w:t>
      </w:r>
      <w:r w:rsidRPr="008D04A8">
        <w:rPr>
          <w:rFonts w:cs="Arial"/>
          <w:szCs w:val="22"/>
          <w:vertAlign w:val="superscript"/>
        </w:rPr>
        <w:t>st</w:t>
      </w:r>
      <w:r>
        <w:rPr>
          <w:rFonts w:cs="Arial"/>
          <w:szCs w:val="22"/>
        </w:rPr>
        <w:t xml:space="preserve"> March 2018, the parties shall enter into a temporary Tenancy at Will </w:t>
      </w:r>
      <w:r w:rsidR="00F413ED">
        <w:rPr>
          <w:rFonts w:cs="Arial"/>
          <w:szCs w:val="22"/>
        </w:rPr>
        <w:t>and the management of the hall will pass to BTC</w:t>
      </w:r>
      <w:r w:rsidR="002E7881">
        <w:rPr>
          <w:rFonts w:cs="Arial"/>
          <w:szCs w:val="22"/>
        </w:rPr>
        <w:t xml:space="preserve"> otherwise on substantially the same terms as above and the Partnership Agreement.</w:t>
      </w:r>
    </w:p>
    <w:p w:rsidR="00BF533A" w:rsidRPr="00145FBE" w:rsidRDefault="00BF533A" w:rsidP="00BF533A">
      <w:pPr>
        <w:spacing w:after="200" w:line="276" w:lineRule="auto"/>
        <w:rPr>
          <w:rFonts w:cs="Arial"/>
          <w:szCs w:val="22"/>
        </w:rPr>
      </w:pPr>
      <w:r w:rsidRPr="00145FBE">
        <w:rPr>
          <w:rFonts w:cs="Arial"/>
          <w:szCs w:val="22"/>
        </w:rPr>
        <w:t>Yours sincerely</w:t>
      </w:r>
    </w:p>
    <w:p w:rsidR="00BF533A" w:rsidRPr="00145FBE" w:rsidRDefault="00BF533A" w:rsidP="00BF533A">
      <w:pPr>
        <w:spacing w:after="200" w:line="276" w:lineRule="auto"/>
        <w:rPr>
          <w:rFonts w:cs="Arial"/>
          <w:szCs w:val="22"/>
        </w:rPr>
      </w:pPr>
    </w:p>
    <w:p w:rsidR="00BF533A" w:rsidRPr="00145FBE" w:rsidRDefault="00BF533A" w:rsidP="00BF533A">
      <w:pPr>
        <w:spacing w:after="200" w:line="276" w:lineRule="auto"/>
        <w:rPr>
          <w:rFonts w:cs="Arial"/>
          <w:szCs w:val="22"/>
        </w:rPr>
      </w:pPr>
    </w:p>
    <w:p w:rsidR="00BF533A" w:rsidRPr="00145FBE" w:rsidRDefault="00BF533A" w:rsidP="00BF533A">
      <w:pPr>
        <w:spacing w:after="200" w:line="276" w:lineRule="auto"/>
        <w:rPr>
          <w:rFonts w:cs="Arial"/>
          <w:szCs w:val="22"/>
        </w:rPr>
      </w:pPr>
      <w:r w:rsidRPr="00145FBE">
        <w:rPr>
          <w:rFonts w:cs="Arial"/>
          <w:szCs w:val="22"/>
        </w:rPr>
        <w:t>Nigel Gillatt</w:t>
      </w:r>
    </w:p>
    <w:p w:rsidR="00BF533A" w:rsidRPr="00BF533A" w:rsidRDefault="00BF533A" w:rsidP="008C636A">
      <w:pPr>
        <w:spacing w:after="200" w:line="276" w:lineRule="auto"/>
        <w:rPr>
          <w:rFonts w:ascii="Times New Roman" w:hAnsi="Times New Roman" w:cs="Arial"/>
          <w:sz w:val="22"/>
          <w:szCs w:val="22"/>
        </w:rPr>
      </w:pPr>
      <w:r w:rsidRPr="00145FBE">
        <w:rPr>
          <w:rFonts w:cs="Arial"/>
          <w:szCs w:val="22"/>
        </w:rPr>
        <w:t>Senior Estate Surveyor Research and Development</w:t>
      </w:r>
    </w:p>
    <w:p w:rsidR="00E877FB" w:rsidRDefault="00E877FB"/>
    <w:p w:rsidR="00E877FB" w:rsidRDefault="00E877FB"/>
    <w:p w:rsidR="00E877FB" w:rsidRDefault="00E877FB"/>
    <w:p w:rsidR="00E877FB" w:rsidRDefault="00E877FB"/>
    <w:sectPr w:rsidR="00E877FB">
      <w:headerReference w:type="first" r:id="rId9"/>
      <w:footerReference w:type="first" r:id="rId10"/>
      <w:type w:val="continuous"/>
      <w:pgSz w:w="11906" w:h="16838" w:code="9"/>
      <w:pgMar w:top="562" w:right="1152" w:bottom="562" w:left="1152" w:header="562" w:footer="2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00B9" w:rsidRDefault="00AC00B9">
      <w:r>
        <w:separator/>
      </w:r>
    </w:p>
  </w:endnote>
  <w:endnote w:type="continuationSeparator" w:id="0">
    <w:p w:rsidR="00AC00B9" w:rsidRDefault="00AC0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207A" w:rsidRDefault="0080207A">
    <w:pPr>
      <w:pStyle w:val="Footer"/>
      <w:rPr>
        <w:rStyle w:val="PageNumber"/>
        <w:color w:val="000080"/>
      </w:rPr>
    </w:pPr>
  </w:p>
  <w:p w:rsidR="0080207A" w:rsidRDefault="0080207A">
    <w:pPr>
      <w:pStyle w:val="Footer"/>
      <w:rPr>
        <w:rStyle w:val="PageNumber"/>
        <w:color w:val="0000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00B9" w:rsidRDefault="00AC00B9">
      <w:r>
        <w:separator/>
      </w:r>
    </w:p>
  </w:footnote>
  <w:footnote w:type="continuationSeparator" w:id="0">
    <w:p w:rsidR="00AC00B9" w:rsidRDefault="00AC00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207A" w:rsidRDefault="0080207A">
    <w:pPr>
      <w:pStyle w:val="Header"/>
    </w:pPr>
    <w:r>
      <w:rPr>
        <w:noProof/>
        <w:lang w:eastAsia="en-GB"/>
      </w:rPr>
      <w:drawing>
        <wp:inline distT="0" distB="0" distL="0" distR="0">
          <wp:extent cx="6086475" cy="600075"/>
          <wp:effectExtent l="0" t="0" r="9525" b="9525"/>
          <wp:docPr id="1" name="Picture 1" descr="banner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nerc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64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3A6F07"/>
    <w:multiLevelType w:val="multilevel"/>
    <w:tmpl w:val="3C68DF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6BB01CFE"/>
    <w:multiLevelType w:val="hybridMultilevel"/>
    <w:tmpl w:val="08A05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o:colormru v:ext="edit" colors="#080808,#b2b2b2,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3D8"/>
    <w:rsid w:val="000007A4"/>
    <w:rsid w:val="00007CE5"/>
    <w:rsid w:val="00017344"/>
    <w:rsid w:val="000269D0"/>
    <w:rsid w:val="000566BD"/>
    <w:rsid w:val="00097779"/>
    <w:rsid w:val="000D1DEF"/>
    <w:rsid w:val="000E1582"/>
    <w:rsid w:val="000F14DF"/>
    <w:rsid w:val="000F3AD1"/>
    <w:rsid w:val="000F7309"/>
    <w:rsid w:val="00111CFA"/>
    <w:rsid w:val="00131F60"/>
    <w:rsid w:val="00141A46"/>
    <w:rsid w:val="00142C3F"/>
    <w:rsid w:val="00142E1A"/>
    <w:rsid w:val="00145FBE"/>
    <w:rsid w:val="00152234"/>
    <w:rsid w:val="00156A54"/>
    <w:rsid w:val="0017041A"/>
    <w:rsid w:val="00176128"/>
    <w:rsid w:val="00177FD0"/>
    <w:rsid w:val="001B32AB"/>
    <w:rsid w:val="001F4F74"/>
    <w:rsid w:val="0020637F"/>
    <w:rsid w:val="002B19FA"/>
    <w:rsid w:val="002C4CE6"/>
    <w:rsid w:val="002E7881"/>
    <w:rsid w:val="002F2FAD"/>
    <w:rsid w:val="00304EB4"/>
    <w:rsid w:val="00313CE6"/>
    <w:rsid w:val="003336D2"/>
    <w:rsid w:val="00341059"/>
    <w:rsid w:val="00391121"/>
    <w:rsid w:val="003A4380"/>
    <w:rsid w:val="003B51E3"/>
    <w:rsid w:val="00401832"/>
    <w:rsid w:val="00411212"/>
    <w:rsid w:val="00420FE8"/>
    <w:rsid w:val="00445334"/>
    <w:rsid w:val="004A4DFD"/>
    <w:rsid w:val="004B57DE"/>
    <w:rsid w:val="004E05B2"/>
    <w:rsid w:val="004E4D79"/>
    <w:rsid w:val="00501985"/>
    <w:rsid w:val="00514EDD"/>
    <w:rsid w:val="0055794B"/>
    <w:rsid w:val="00557978"/>
    <w:rsid w:val="005747DF"/>
    <w:rsid w:val="00596F45"/>
    <w:rsid w:val="005A73B2"/>
    <w:rsid w:val="005B56EC"/>
    <w:rsid w:val="005B58E1"/>
    <w:rsid w:val="005C2294"/>
    <w:rsid w:val="005D42BF"/>
    <w:rsid w:val="005E3F89"/>
    <w:rsid w:val="005F6E90"/>
    <w:rsid w:val="005F7550"/>
    <w:rsid w:val="006103EB"/>
    <w:rsid w:val="00617D7D"/>
    <w:rsid w:val="0062246F"/>
    <w:rsid w:val="00635171"/>
    <w:rsid w:val="00670E91"/>
    <w:rsid w:val="00677BC7"/>
    <w:rsid w:val="006D1E46"/>
    <w:rsid w:val="006D7A86"/>
    <w:rsid w:val="006F00F7"/>
    <w:rsid w:val="006F1823"/>
    <w:rsid w:val="00723B5B"/>
    <w:rsid w:val="007470B2"/>
    <w:rsid w:val="00750133"/>
    <w:rsid w:val="007D1A12"/>
    <w:rsid w:val="007D7242"/>
    <w:rsid w:val="0080207A"/>
    <w:rsid w:val="00807A3B"/>
    <w:rsid w:val="0081076A"/>
    <w:rsid w:val="00812E0E"/>
    <w:rsid w:val="008C636A"/>
    <w:rsid w:val="008C6DFE"/>
    <w:rsid w:val="008D04A8"/>
    <w:rsid w:val="008E1040"/>
    <w:rsid w:val="0097404D"/>
    <w:rsid w:val="009A5E6E"/>
    <w:rsid w:val="009B107D"/>
    <w:rsid w:val="009E7435"/>
    <w:rsid w:val="00A123CE"/>
    <w:rsid w:val="00A14D39"/>
    <w:rsid w:val="00A53CB9"/>
    <w:rsid w:val="00A77B48"/>
    <w:rsid w:val="00AB53D8"/>
    <w:rsid w:val="00AC00B9"/>
    <w:rsid w:val="00AC10AE"/>
    <w:rsid w:val="00AD3DF2"/>
    <w:rsid w:val="00B36121"/>
    <w:rsid w:val="00B87F1D"/>
    <w:rsid w:val="00B9602C"/>
    <w:rsid w:val="00BB5779"/>
    <w:rsid w:val="00BB77DC"/>
    <w:rsid w:val="00BC31BF"/>
    <w:rsid w:val="00BC4778"/>
    <w:rsid w:val="00BC499D"/>
    <w:rsid w:val="00BD4F10"/>
    <w:rsid w:val="00BF533A"/>
    <w:rsid w:val="00C073BD"/>
    <w:rsid w:val="00C3518A"/>
    <w:rsid w:val="00C66D94"/>
    <w:rsid w:val="00CC1CE9"/>
    <w:rsid w:val="00D10E84"/>
    <w:rsid w:val="00D20BBB"/>
    <w:rsid w:val="00D37004"/>
    <w:rsid w:val="00D47323"/>
    <w:rsid w:val="00D62E11"/>
    <w:rsid w:val="00D7462D"/>
    <w:rsid w:val="00D91565"/>
    <w:rsid w:val="00DC72F8"/>
    <w:rsid w:val="00DD12F1"/>
    <w:rsid w:val="00DD3AE7"/>
    <w:rsid w:val="00DE6E87"/>
    <w:rsid w:val="00E626AF"/>
    <w:rsid w:val="00E7530D"/>
    <w:rsid w:val="00E77E11"/>
    <w:rsid w:val="00E877FB"/>
    <w:rsid w:val="00EA0EA7"/>
    <w:rsid w:val="00EB18C2"/>
    <w:rsid w:val="00EC45E6"/>
    <w:rsid w:val="00EC49C5"/>
    <w:rsid w:val="00ED2697"/>
    <w:rsid w:val="00EE21A8"/>
    <w:rsid w:val="00EF0EBE"/>
    <w:rsid w:val="00F23B45"/>
    <w:rsid w:val="00F26506"/>
    <w:rsid w:val="00F413ED"/>
    <w:rsid w:val="00F608EE"/>
    <w:rsid w:val="00F9504F"/>
    <w:rsid w:val="00FC66E5"/>
    <w:rsid w:val="00FD1FB6"/>
    <w:rsid w:val="00FE4A78"/>
    <w:rsid w:val="00FF2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80808,#b2b2b2,#ddd"/>
    </o:shapedefaults>
    <o:shapelayout v:ext="edit">
      <o:idmap v:ext="edit" data="1"/>
    </o:shapelayout>
  </w:shapeDefaults>
  <w:decimalSymbol w:val="."/>
  <w:listSeparator w:val=","/>
  <w14:docId w14:val="0E84F58F"/>
  <w15:docId w15:val="{1D72E831-BDC4-4BF9-A9F9-6677BF43E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cs="Arial"/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Arial"/>
      <w:b/>
      <w:bCs/>
      <w:sz w:val="48"/>
    </w:rPr>
  </w:style>
  <w:style w:type="paragraph" w:styleId="Heading5">
    <w:name w:val="heading 5"/>
    <w:basedOn w:val="Normal"/>
    <w:next w:val="Normal"/>
    <w:qFormat/>
    <w:pPr>
      <w:keepNext/>
      <w:widowControl w:val="0"/>
      <w:jc w:val="both"/>
      <w:outlineLvl w:val="4"/>
    </w:pPr>
    <w:rPr>
      <w:color w:val="FFFFFF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Pr>
      <w:rFonts w:ascii="Arial" w:hAnsi="Arial"/>
      <w:sz w:val="20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BalloonText">
    <w:name w:val="Balloon Text"/>
    <w:basedOn w:val="Normal"/>
    <w:link w:val="BalloonTextChar"/>
    <w:rsid w:val="00BF53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F533A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0D1D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adford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Asset%20Management\Shared%20Area\Templates\Standards\Stdlet-do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823B2-3B53-4365-9698-13470BD79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Stdlet-dot</Template>
  <TotalTime>1</TotalTime>
  <Pages>3</Pages>
  <Words>1143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</vt:lpstr>
    </vt:vector>
  </TitlesOfParts>
  <Company>City of Bradford MDC</Company>
  <LinksUpToDate>false</LinksUpToDate>
  <CharactersWithSpaces>7649</CharactersWithSpaces>
  <SharedDoc>false</SharedDoc>
  <HLinks>
    <vt:vector size="6" baseType="variant">
      <vt:variant>
        <vt:i4>3670057</vt:i4>
      </vt:variant>
      <vt:variant>
        <vt:i4>4</vt:i4>
      </vt:variant>
      <vt:variant>
        <vt:i4>0</vt:i4>
      </vt:variant>
      <vt:variant>
        <vt:i4>5</vt:i4>
      </vt:variant>
      <vt:variant>
        <vt:lpwstr>http://www.bradford.gov.uk/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</dc:title>
  <dc:creator>Nigel Gillatt</dc:creator>
  <cp:lastModifiedBy>Clerk Bcl</cp:lastModifiedBy>
  <cp:revision>2</cp:revision>
  <cp:lastPrinted>2018-03-07T16:15:00Z</cp:lastPrinted>
  <dcterms:created xsi:type="dcterms:W3CDTF">2018-03-07T18:20:00Z</dcterms:created>
  <dcterms:modified xsi:type="dcterms:W3CDTF">2018-03-07T18:20:00Z</dcterms:modified>
</cp:coreProperties>
</file>