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252" w:type="dxa"/>
        <w:tblInd w:w="-108" w:type="dxa"/>
        <w:tblLook w:val="04A0" w:firstRow="1" w:lastRow="0" w:firstColumn="1" w:lastColumn="0" w:noHBand="0" w:noVBand="1"/>
      </w:tblPr>
      <w:tblGrid>
        <w:gridCol w:w="4229"/>
        <w:gridCol w:w="1561"/>
        <w:gridCol w:w="1821"/>
        <w:gridCol w:w="3696"/>
        <w:gridCol w:w="3543"/>
        <w:gridCol w:w="1062"/>
        <w:gridCol w:w="1067"/>
        <w:gridCol w:w="1062"/>
        <w:gridCol w:w="1062"/>
        <w:gridCol w:w="1062"/>
        <w:gridCol w:w="1127"/>
        <w:gridCol w:w="980"/>
        <w:gridCol w:w="980"/>
      </w:tblGrid>
      <w:tr w:rsidR="00DF3EBE" w:rsidRPr="00DF3EBE" w14:paraId="0A1D70FC" w14:textId="77777777" w:rsidTr="00DF3EBE">
        <w:trPr>
          <w:trHeight w:val="336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DBCBE" w14:textId="05A4815E" w:rsidR="00DF3EBE" w:rsidRDefault="0034729A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Budget Report for Governance Committee 20</w:t>
            </w:r>
            <w:r w:rsidRPr="0034729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 xml:space="preserve"> November 2023</w:t>
            </w:r>
          </w:p>
          <w:p w14:paraId="0BFCD23E" w14:textId="41DEDAD3" w:rsidR="0034729A" w:rsidRDefault="0034729A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Clerk/RFO</w:t>
            </w:r>
          </w:p>
          <w:p w14:paraId="50AD837B" w14:textId="77777777" w:rsid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  <w:p w14:paraId="7E500378" w14:textId="153E7378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 xml:space="preserve">Draft </w:t>
            </w:r>
            <w:r w:rsidR="00B15EB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B</w:t>
            </w: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 xml:space="preserve">udget for </w:t>
            </w:r>
            <w:r w:rsidR="00B15EB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P</w:t>
            </w: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 xml:space="preserve">recept </w:t>
            </w:r>
            <w:r w:rsidR="00B15EB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20</w:t>
            </w: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24</w:t>
            </w:r>
            <w:r w:rsidR="00B15EB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- 20</w:t>
            </w: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FFFD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6E3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187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56B1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1A0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25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779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0051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D15B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7729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3757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B71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706B528F" w14:textId="77777777" w:rsidTr="00DF3EBE">
        <w:trPr>
          <w:trHeight w:val="312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B785" w14:textId="77777777" w:rsid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  <w:p w14:paraId="6C361E85" w14:textId="733DC934" w:rsidR="00DF3EBE" w:rsidRPr="0034729A" w:rsidRDefault="00DF3EBE" w:rsidP="00DF3EBE">
            <w:pPr>
              <w:spacing w:before="0" w:after="0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GB"/>
              </w:rPr>
            </w:pPr>
            <w:r w:rsidRPr="0034729A"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GB"/>
              </w:rPr>
              <w:t>Background</w:t>
            </w:r>
          </w:p>
          <w:p w14:paraId="268435C9" w14:textId="38BC167B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2960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1B0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66A9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504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FA21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9643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4CC1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355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4C43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7C82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5CB9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E25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677FE3F6" w14:textId="77777777" w:rsidTr="00DF3EBE">
        <w:trPr>
          <w:trHeight w:val="336"/>
        </w:trPr>
        <w:tc>
          <w:tcPr>
            <w:tcW w:w="1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DB73" w14:textId="77777777" w:rsid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  <w:p w14:paraId="18063F95" w14:textId="17E07865" w:rsidR="00B32D0E" w:rsidRDefault="00DF3EBE" w:rsidP="00B32D0E">
            <w:pPr>
              <w:tabs>
                <w:tab w:val="left" w:pos="11907"/>
              </w:tabs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The budget development process began in ea</w:t>
            </w:r>
            <w:r w:rsidR="00324B08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rly September </w:t>
            </w:r>
            <w:r w:rsidR="00B32D0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with Governance Committee. Since then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,</w:t>
            </w:r>
            <w:r w:rsidR="00B32D0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Committees have </w:t>
            </w:r>
          </w:p>
          <w:p w14:paraId="7FC63AEA" w14:textId="7B87D8BB" w:rsidR="0034729A" w:rsidRDefault="00B32D0E" w:rsidP="00B32D0E">
            <w:pPr>
              <w:tabs>
                <w:tab w:val="left" w:pos="11907"/>
              </w:tabs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examined their budgets for next year and reached resolutions. A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the start of the process the staff pay award was </w:t>
            </w:r>
          </w:p>
          <w:p w14:paraId="2CA89E20" w14:textId="77777777" w:rsidR="0034729A" w:rsidRDefault="00B32D0E" w:rsidP="00B32D0E">
            <w:pPr>
              <w:tabs>
                <w:tab w:val="left" w:pos="11907"/>
              </w:tabs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unknown and various other costs were indicating that we had a large deficit to cover. 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The pay award was confirmed on </w:t>
            </w:r>
          </w:p>
          <w:p w14:paraId="4DD6AE3A" w14:textId="18315D9F" w:rsidR="0034729A" w:rsidRDefault="0034729A" w:rsidP="00B32D0E">
            <w:pPr>
              <w:tabs>
                <w:tab w:val="left" w:pos="11907"/>
              </w:tabs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</w:t>
            </w:r>
            <w:r w:rsidRPr="0034729A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 2023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. </w:t>
            </w:r>
            <w:r w:rsidR="00B32D0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As information has been forthcoming there is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now </w:t>
            </w:r>
            <w:r w:rsidR="00B32D0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greater clarity over costings and a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n ongoing</w:t>
            </w:r>
            <w:r w:rsidR="00B32D0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  <w:p w14:paraId="1D7189CF" w14:textId="331F8FBE" w:rsidR="00B32D0E" w:rsidRDefault="00B32D0E" w:rsidP="00B32D0E">
            <w:pPr>
              <w:tabs>
                <w:tab w:val="left" w:pos="11907"/>
              </w:tabs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rigorous process has resulted in </w:t>
            </w:r>
            <w:r w:rsidR="008E328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modest deficit. </w:t>
            </w:r>
          </w:p>
          <w:p w14:paraId="10BF7A56" w14:textId="52D0559F" w:rsidR="00B32D0E" w:rsidRDefault="00B32D0E" w:rsidP="00B32D0E">
            <w:pPr>
              <w:tabs>
                <w:tab w:val="left" w:pos="11907"/>
              </w:tabs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  <w:p w14:paraId="0F9B5942" w14:textId="77777777" w:rsidR="00B15EB3" w:rsidRDefault="00B32D0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We still don’t know about our precept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amount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. Therefore the prece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pt for 2023/24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has been used 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for budgeting 2024/25</w:t>
            </w:r>
          </w:p>
          <w:p w14:paraId="604B3D2C" w14:textId="590574D5" w:rsidR="00DF3EBE" w:rsidRPr="00DF3EBE" w:rsidRDefault="00B32D0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ie. </w:t>
            </w:r>
            <w:r w:rsidR="008E328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last year it 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was set at £48.83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for Band D.  The taxpayer base of 6,287 resulted in a precept of £306,990.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9953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E4E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9DB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5B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A673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6E1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579CF773" w14:textId="77777777" w:rsidTr="00DF3EBE">
        <w:trPr>
          <w:trHeight w:val="444"/>
        </w:trPr>
        <w:tc>
          <w:tcPr>
            <w:tcW w:w="21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B0FB5" w14:textId="77777777" w:rsidR="00B15EB3" w:rsidRDefault="00B15EB3" w:rsidP="0034729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  <w:p w14:paraId="4D66DE87" w14:textId="01037C10" w:rsidR="0034729A" w:rsidRPr="00DF3EBE" w:rsidRDefault="00DF3EBE" w:rsidP="0034729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There are 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still 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pressures due to the rising cost of living and energy costs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. 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  <w:p w14:paraId="3B9091F6" w14:textId="5672409F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5945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69D0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4EB44978" w14:textId="77777777" w:rsidTr="00DF3EBE">
        <w:trPr>
          <w:trHeight w:val="336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B6100" w14:textId="77777777" w:rsidR="00B15EB3" w:rsidRDefault="00B15EB3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  <w:p w14:paraId="09E70D10" w14:textId="0C567ECE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Strategy - basis for budget setting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CE2EB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A55D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C1EB5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B410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8707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300B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05F4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4E47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E6F3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E8394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8760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5A13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5033A55F" w14:textId="77777777" w:rsidTr="00DF3EBE">
        <w:trPr>
          <w:trHeight w:val="1032"/>
        </w:trPr>
        <w:tc>
          <w:tcPr>
            <w:tcW w:w="21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303EC" w14:textId="35B3D65E" w:rsidR="0034729A" w:rsidRDefault="00DF3EBE" w:rsidP="00753FB2">
            <w:pPr>
              <w:pStyle w:val="ListParagraph"/>
              <w:numPr>
                <w:ilvl w:val="0"/>
                <w:numId w:val="1"/>
              </w:num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 xml:space="preserve">Committee budget savings: 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Governance 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Committee on 11</w:t>
            </w:r>
            <w:r w:rsidR="0034729A" w:rsidRPr="0034729A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(GOV2324/41.2) recommend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ed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  <w:p w14:paraId="76915489" w14:textId="2A1E1CDD" w:rsidR="0034729A" w:rsidRDefault="00DF3EBE" w:rsidP="00753FB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to the Committees to review 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their budgets in 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line with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projected pressures. Modest savings within their budgets </w:t>
            </w:r>
          </w:p>
          <w:p w14:paraId="4593707C" w14:textId="77777777" w:rsidR="0034729A" w:rsidRDefault="00DF3EBE" w:rsidP="00753FB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have been made without impacting core services and activities. There have been some increases in budget lines </w:t>
            </w:r>
          </w:p>
          <w:p w14:paraId="5C1E641A" w14:textId="77777777" w:rsidR="00DF3EBE" w:rsidRDefault="00DF3EBE" w:rsidP="00753FB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responding to actual cost of living rises.</w:t>
            </w:r>
          </w:p>
          <w:p w14:paraId="1C842175" w14:textId="77777777" w:rsidR="00753FB2" w:rsidRDefault="00753FB2" w:rsidP="00753FB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  <w:p w14:paraId="75734DC4" w14:textId="444F1EE3" w:rsidR="0034729A" w:rsidRPr="00DF3EBE" w:rsidRDefault="0034729A" w:rsidP="0034729A">
            <w:pPr>
              <w:spacing w:before="0" w:after="0"/>
              <w:ind w:left="36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B5BD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F9995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60D59996" w14:textId="77777777" w:rsidTr="00DF3EBE">
        <w:trPr>
          <w:trHeight w:val="336"/>
        </w:trPr>
        <w:tc>
          <w:tcPr>
            <w:tcW w:w="232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CB7A1" w14:textId="6A6E880B" w:rsidR="0034729A" w:rsidRPr="00B15EB3" w:rsidRDefault="00DF3EBE" w:rsidP="00B15EB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B15EB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Assumptions.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It is assumed that the </w:t>
            </w:r>
            <w:r w:rsidR="0034729A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Public Deposit Account 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investment of £100,000 will yield £5,000 in 2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02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4/25 </w:t>
            </w:r>
          </w:p>
          <w:p w14:paraId="22DF937D" w14:textId="75FEAB6E" w:rsidR="0034729A" w:rsidRDefault="00DF3EBE" w:rsidP="00753FB2">
            <w:pPr>
              <w:pStyle w:val="ListParagraph"/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(current performance) 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although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 w:rsidRP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investment income can go up and down. 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Due to retirement the duties of the </w:t>
            </w:r>
            <w:r w:rsidRP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Warden post</w:t>
            </w:r>
          </w:p>
          <w:p w14:paraId="14CC8387" w14:textId="6BD974E0" w:rsidR="00753FB2" w:rsidRDefault="00B15EB3" w:rsidP="00753FB2">
            <w:pPr>
              <w:pStyle w:val="ListParagraph"/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h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ave been re-allocated (c/f Governance Committee agenda item 11)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and 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the post </w:t>
            </w:r>
            <w:r w:rsidR="008E328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is proposed for d</w:t>
            </w:r>
            <w:r w:rsidR="00DF3EBE" w:rsidRP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elet</w:t>
            </w:r>
            <w:r w:rsidR="008E328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ion</w:t>
            </w:r>
            <w:r w:rsidR="00DF3EBE" w:rsidRP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.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A review of</w:t>
            </w:r>
          </w:p>
          <w:p w14:paraId="6E2371E7" w14:textId="17111A84" w:rsidR="0034729A" w:rsidRPr="00753FB2" w:rsidRDefault="0034729A" w:rsidP="00753FB2">
            <w:pPr>
              <w:pStyle w:val="ListParagraph"/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staffing </w:t>
            </w:r>
            <w:r w:rsidR="00753FB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i</w:t>
            </w:r>
            <w:r w:rsidRPr="00753FB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n 2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02</w:t>
            </w:r>
            <w:r w:rsidRPr="00753FB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4/25 has been proposed.</w:t>
            </w:r>
          </w:p>
        </w:tc>
      </w:tr>
      <w:tr w:rsidR="00DF3EBE" w:rsidRPr="00DF3EBE" w14:paraId="5AFECE6A" w14:textId="77777777" w:rsidTr="00DF3EBE">
        <w:trPr>
          <w:trHeight w:val="276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1F444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4E0A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BE5A7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5EFD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FD3F6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38D1D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9580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374E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90376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6802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F8AD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6F05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F3C6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7259DE88" w14:textId="77777777" w:rsidTr="00DF3EBE">
        <w:trPr>
          <w:trHeight w:val="336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B064" w14:textId="330BE15A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Recommendations: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8DE24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F07FB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22097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93D2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C34EB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71235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25865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5C5B4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E47E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96DF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7386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DC1B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0762A858" w14:textId="77777777" w:rsidTr="00DF3EBE">
        <w:trPr>
          <w:trHeight w:val="336"/>
        </w:trPr>
        <w:tc>
          <w:tcPr>
            <w:tcW w:w="21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6696E" w14:textId="77777777" w:rsidR="00B15EB3" w:rsidRDefault="00B15EB3" w:rsidP="00B15EB3">
            <w:pPr>
              <w:pStyle w:val="ListParagraph"/>
              <w:numPr>
                <w:ilvl w:val="0"/>
                <w:numId w:val="3"/>
              </w:numPr>
              <w:spacing w:before="0" w:after="0"/>
              <w:ind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B15EB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Precept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. </w:t>
            </w:r>
            <w:r w:rsidR="00DF3EBE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It is recommended that for 2024/25 the precept remain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</w:t>
            </w:r>
            <w:r w:rsidR="00DF3EBE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unchanged at £48.83 for Band D. The tax base </w:t>
            </w:r>
          </w:p>
          <w:p w14:paraId="7CBB08BB" w14:textId="69CF308B" w:rsidR="00DF3EBE" w:rsidRPr="00DF3EBE" w:rsidRDefault="00B15EB3" w:rsidP="00B15EB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    </w:t>
            </w:r>
            <w:r w:rsidR="00DF3EBE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may slightly 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change and figures will be adjusted.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DB8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A68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3B1BD644" w14:textId="77777777" w:rsidTr="00DF3EBE">
        <w:trPr>
          <w:trHeight w:val="720"/>
        </w:trPr>
        <w:tc>
          <w:tcPr>
            <w:tcW w:w="21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E2B9" w14:textId="2CE58718" w:rsidR="00B15EB3" w:rsidRDefault="00DF3EBE" w:rsidP="00B15EB3">
            <w:pPr>
              <w:pStyle w:val="ListParagraph"/>
              <w:numPr>
                <w:ilvl w:val="0"/>
                <w:numId w:val="3"/>
              </w:numPr>
              <w:spacing w:before="0" w:after="0"/>
              <w:ind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B15EB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Use of Reserves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: The council continues to retain general reserves of c.£219,000</w:t>
            </w:r>
            <w:r w:rsidR="008E328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. T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his includes the Deposit Account </w:t>
            </w:r>
          </w:p>
          <w:p w14:paraId="3F05A543" w14:textId="77777777" w:rsidR="00B15EB3" w:rsidRDefault="00B15EB3" w:rsidP="00B15EB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   Investment 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of £100,000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which 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is instant access and so should still be viewed as res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er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ves we can call upon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. </w:t>
            </w:r>
          </w:p>
          <w:p w14:paraId="7712FAD8" w14:textId="534AC265" w:rsidR="00D62EF7" w:rsidRDefault="00B15EB3" w:rsidP="00B15EB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   Furthermore</w:t>
            </w:r>
            <w:r w:rsidR="008E328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the amount of ‘contingency</w:t>
            </w:r>
            <w:r w:rsidR="008E328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’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reserve  </w:t>
            </w:r>
            <w:r w:rsidR="00D62EF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(</w:t>
            </w:r>
            <w:r w:rsidR="00975E39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eg.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3 months</w:t>
            </w:r>
            <w:r w:rsidR="00D62EF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)</w:t>
            </w:r>
            <w:r w:rsidR="00975E39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would be around £85,000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 w:rsidR="00DF3EBE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so it is recommended </w:t>
            </w:r>
          </w:p>
          <w:p w14:paraId="097D5091" w14:textId="77777777" w:rsidR="00D62EF7" w:rsidRDefault="00D62EF7" w:rsidP="00B15EB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   </w:t>
            </w:r>
            <w:r w:rsidR="00DF3EBE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that 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BTC </w:t>
            </w:r>
            <w:r w:rsidR="009A4EE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can easily 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and justifiably make use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of reserves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to cover specific budget 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deficits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this year</w:t>
            </w:r>
            <w:r w:rsidR="009A4EE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. 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Earmarked reserves </w:t>
            </w:r>
          </w:p>
          <w:p w14:paraId="5FE03A2A" w14:textId="00450171" w:rsidR="009A4EED" w:rsidRPr="00DF3EBE" w:rsidRDefault="00D62EF7" w:rsidP="00B15EB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   for 24/25 currently stand at c. £23,000.</w:t>
            </w:r>
          </w:p>
          <w:p w14:paraId="6EE0F1E3" w14:textId="7B121BD6" w:rsidR="00DF3EBE" w:rsidRPr="00DF3EBE" w:rsidRDefault="00DF3EBE" w:rsidP="00DF3EBE">
            <w:pPr>
              <w:spacing w:before="0" w:after="0"/>
              <w:ind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C7AF7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25F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7CE6F130" w14:textId="77777777" w:rsidTr="00DF3EBE">
        <w:trPr>
          <w:trHeight w:val="144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7BE81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41F7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933A9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C339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1199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161D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D4953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2D97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25D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E80F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7A9F1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F6203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D04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137B17A9" w14:textId="77777777" w:rsidTr="00DF3EBE">
        <w:trPr>
          <w:trHeight w:val="336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FA8C3" w14:textId="7124BB22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Outstanding Issues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A1116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E676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037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9971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7497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A45D5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5A98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6C11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A9002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371D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527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A29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56A1DD6E" w14:textId="77777777" w:rsidTr="00DF3EBE">
        <w:trPr>
          <w:trHeight w:val="336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22BF" w14:textId="096F7B65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Governance has yet to resolve their budget at the time of writing. BHCC income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target, actual out turn year to date is 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F817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6A30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997D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3962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50C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8709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57C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7D7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</w:tbl>
    <w:p w14:paraId="4D38C079" w14:textId="34D2A1BD" w:rsidR="00DF3EBE" w:rsidRPr="009A4EED" w:rsidRDefault="00DF3EBE" w:rsidP="00DF3EBE">
      <w:pPr>
        <w:ind w:left="176" w:right="0"/>
        <w:rPr>
          <w:rFonts w:asciiTheme="minorHAnsi" w:hAnsiTheme="minorHAnsi" w:cstheme="minorHAnsi"/>
          <w:b/>
          <w:bCs/>
          <w:szCs w:val="22"/>
        </w:rPr>
      </w:pPr>
      <w:r w:rsidRPr="009A4EED">
        <w:rPr>
          <w:rFonts w:asciiTheme="minorHAnsi" w:hAnsiTheme="minorHAnsi" w:cstheme="minorHAnsi"/>
          <w:b/>
          <w:bCs/>
          <w:szCs w:val="22"/>
        </w:rPr>
        <w:t>Summary Table</w:t>
      </w:r>
    </w:p>
    <w:tbl>
      <w:tblPr>
        <w:tblpPr w:leftFromText="180" w:rightFromText="180" w:vertAnchor="text" w:horzAnchor="margin" w:tblpY="446"/>
        <w:tblW w:w="7400" w:type="dxa"/>
        <w:tblLook w:val="04A0" w:firstRow="1" w:lastRow="0" w:firstColumn="1" w:lastColumn="0" w:noHBand="0" w:noVBand="1"/>
      </w:tblPr>
      <w:tblGrid>
        <w:gridCol w:w="4280"/>
        <w:gridCol w:w="1440"/>
        <w:gridCol w:w="1680"/>
      </w:tblGrid>
      <w:tr w:rsidR="00DF3EBE" w:rsidRPr="009A4EED" w14:paraId="10D894A2" w14:textId="77777777" w:rsidTr="00DF3EBE">
        <w:trPr>
          <w:trHeight w:val="312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48F2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Summary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5497" w14:textId="77777777" w:rsidR="00DF3EBE" w:rsidRPr="00DF3EBE" w:rsidRDefault="00DF3EBE" w:rsidP="00DF3EBE">
            <w:pPr>
              <w:spacing w:before="0" w:after="0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2023/24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7F542" w14:textId="77777777" w:rsidR="00DF3EBE" w:rsidRPr="00DF3EBE" w:rsidRDefault="00DF3EBE" w:rsidP="00DF3EBE">
            <w:pPr>
              <w:spacing w:before="0" w:after="0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2024/25</w:t>
            </w:r>
          </w:p>
        </w:tc>
      </w:tr>
      <w:tr w:rsidR="00DF3EBE" w:rsidRPr="009A4EED" w14:paraId="5CF48995" w14:textId="77777777" w:rsidTr="00DF3EBE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D26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Budgeted income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CB88" w14:textId="77777777" w:rsidR="00DF3EBE" w:rsidRPr="00DF3EBE" w:rsidRDefault="00DF3EBE" w:rsidP="00DF3EBE">
            <w:pPr>
              <w:spacing w:before="0" w:after="0"/>
              <w:ind w:left="0" w:right="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£313,040.00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ADB86" w14:textId="77777777" w:rsidR="00DF3EBE" w:rsidRPr="00DF3EBE" w:rsidRDefault="00DF3EBE" w:rsidP="00DF3EBE">
            <w:pPr>
              <w:spacing w:before="0" w:after="0"/>
              <w:ind w:left="0" w:right="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£318,040.00</w:t>
            </w:r>
          </w:p>
        </w:tc>
      </w:tr>
      <w:tr w:rsidR="00DF3EBE" w:rsidRPr="009A4EED" w14:paraId="6D3AEBEF" w14:textId="77777777" w:rsidTr="00DF3EBE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0B2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Budgeted spend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5BF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20447" w14:textId="1E5CC7ED" w:rsidR="00DF3EBE" w:rsidRPr="00DF3EBE" w:rsidRDefault="00DF3EBE" w:rsidP="00DF3EBE">
            <w:pPr>
              <w:spacing w:before="0" w:after="0"/>
              <w:ind w:left="0" w:right="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£32</w:t>
            </w:r>
            <w:r w:rsidR="008E328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1</w:t>
            </w: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,278.00</w:t>
            </w:r>
          </w:p>
        </w:tc>
      </w:tr>
      <w:tr w:rsidR="00DF3EBE" w:rsidRPr="009A4EED" w14:paraId="1EB8A5B2" w14:textId="77777777" w:rsidTr="00DF3EBE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2F5B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Estimated Spend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6F87" w14:textId="77777777" w:rsidR="00DF3EBE" w:rsidRPr="00DF3EBE" w:rsidRDefault="00DF3EBE" w:rsidP="00DF3EBE">
            <w:pPr>
              <w:spacing w:before="0" w:after="0"/>
              <w:ind w:left="0" w:right="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£318,995.00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E7418" w14:textId="2C9A263E" w:rsidR="00DF3EBE" w:rsidRPr="00DF3EBE" w:rsidRDefault="00DF3EBE" w:rsidP="00DF3EBE">
            <w:pPr>
              <w:spacing w:before="0" w:after="0"/>
              <w:ind w:left="0" w:right="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£32</w:t>
            </w:r>
            <w:r w:rsidR="008E328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9</w:t>
            </w: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,878.00</w:t>
            </w:r>
          </w:p>
        </w:tc>
      </w:tr>
      <w:tr w:rsidR="00DF3EBE" w:rsidRPr="009A4EED" w14:paraId="35E4B2FB" w14:textId="77777777" w:rsidTr="00DF3EBE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6380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difference (under/over spend)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E410" w14:textId="77777777" w:rsidR="00DF3EBE" w:rsidRPr="00DF3EBE" w:rsidRDefault="00DF3EBE" w:rsidP="00DF3EBE">
            <w:pPr>
              <w:spacing w:before="0" w:after="0"/>
              <w:ind w:left="0" w:right="0"/>
              <w:jc w:val="righ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n-GB"/>
              </w:rPr>
              <w:t>£5,955.00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C2D5B" w14:textId="67743863" w:rsidR="00DF3EBE" w:rsidRPr="00DF3EBE" w:rsidRDefault="00DF3EBE" w:rsidP="00DF3EBE">
            <w:pPr>
              <w:spacing w:before="0" w:after="0"/>
              <w:ind w:left="0" w:right="0"/>
              <w:jc w:val="righ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n-GB"/>
              </w:rPr>
              <w:t>£1</w:t>
            </w:r>
            <w:r w:rsidR="008E328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n-GB"/>
              </w:rPr>
              <w:t>1</w:t>
            </w:r>
            <w:r w:rsidRPr="00DF3EB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n-GB"/>
              </w:rPr>
              <w:t>,838.00</w:t>
            </w:r>
          </w:p>
        </w:tc>
      </w:tr>
      <w:tr w:rsidR="00DF3EBE" w:rsidRPr="009A4EED" w14:paraId="612E6FAB" w14:textId="77777777" w:rsidTr="00DF3EBE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267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from Earmarked Reserves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8B68" w14:textId="77777777" w:rsidR="00DF3EBE" w:rsidRPr="00DF3EBE" w:rsidRDefault="00DF3EBE" w:rsidP="00DF3EBE">
            <w:pPr>
              <w:spacing w:before="0" w:after="0"/>
              <w:ind w:left="0" w:right="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£5,420.00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E691A9B" w14:textId="77777777" w:rsidR="00DF3EBE" w:rsidRPr="00DF3EBE" w:rsidRDefault="00DF3EBE" w:rsidP="00DF3EBE">
            <w:pPr>
              <w:spacing w:before="0" w:after="0"/>
              <w:ind w:left="0" w:right="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£8,100.00</w:t>
            </w:r>
          </w:p>
        </w:tc>
      </w:tr>
      <w:tr w:rsidR="00DF3EBE" w:rsidRPr="009A4EED" w14:paraId="528CBB06" w14:textId="77777777" w:rsidTr="00DF3EBE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D846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from General Reserves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D784" w14:textId="77777777" w:rsidR="00DF3EBE" w:rsidRPr="00DF3EBE" w:rsidRDefault="00DF3EBE" w:rsidP="00DF3EBE">
            <w:pPr>
              <w:spacing w:before="0" w:after="0"/>
              <w:ind w:left="0" w:right="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0C78D84" w14:textId="77777777" w:rsidR="00DF3EBE" w:rsidRPr="00DF3EBE" w:rsidRDefault="00DF3EBE" w:rsidP="00DF3EBE">
            <w:pPr>
              <w:spacing w:before="0" w:after="0"/>
              <w:ind w:left="0" w:right="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DF3EBE" w:rsidRPr="009A4EED" w14:paraId="7DD8C6D7" w14:textId="77777777" w:rsidTr="00DF3EBE">
        <w:trPr>
          <w:trHeight w:val="32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FA640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9D39F" w14:textId="77777777" w:rsidR="00DF3EBE" w:rsidRPr="00DF3EBE" w:rsidRDefault="00DF3EBE" w:rsidP="00DF3EBE">
            <w:pPr>
              <w:spacing w:before="0" w:after="0"/>
              <w:ind w:left="0" w:right="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843AA" w14:textId="7753FC5E" w:rsidR="00DF3EBE" w:rsidRPr="00DF3EBE" w:rsidRDefault="00DF3EBE" w:rsidP="00DF3EBE">
            <w:pPr>
              <w:spacing w:before="0" w:after="0"/>
              <w:ind w:left="0" w:right="0"/>
              <w:jc w:val="righ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n-GB"/>
              </w:rPr>
            </w:pPr>
            <w:r w:rsidRPr="00DF3EB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n-GB"/>
              </w:rPr>
              <w:t>£</w:t>
            </w:r>
            <w:r w:rsidR="008E328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n-GB"/>
              </w:rPr>
              <w:t>3</w:t>
            </w:r>
            <w:r w:rsidRPr="00DF3EB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n-GB"/>
              </w:rPr>
              <w:t>,738.00</w:t>
            </w:r>
          </w:p>
        </w:tc>
      </w:tr>
    </w:tbl>
    <w:p w14:paraId="586A36D8" w14:textId="77777777" w:rsidR="00DF3EBE" w:rsidRPr="009A4EED" w:rsidRDefault="00DF3EBE" w:rsidP="00DF3EBE">
      <w:pPr>
        <w:ind w:left="0" w:right="0"/>
        <w:rPr>
          <w:rFonts w:asciiTheme="minorHAnsi" w:hAnsiTheme="minorHAnsi" w:cstheme="minorHAnsi"/>
          <w:szCs w:val="22"/>
        </w:rPr>
      </w:pPr>
    </w:p>
    <w:sectPr w:rsidR="00DF3EBE" w:rsidRPr="009A4EED" w:rsidSect="00DF3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2A85"/>
    <w:multiLevelType w:val="hybridMultilevel"/>
    <w:tmpl w:val="9A82FF0A"/>
    <w:lvl w:ilvl="0" w:tplc="DEFE4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10C36"/>
    <w:multiLevelType w:val="hybridMultilevel"/>
    <w:tmpl w:val="9C18EE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D236A"/>
    <w:multiLevelType w:val="hybridMultilevel"/>
    <w:tmpl w:val="AFAC0D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5366">
    <w:abstractNumId w:val="0"/>
  </w:num>
  <w:num w:numId="2" w16cid:durableId="502934839">
    <w:abstractNumId w:val="2"/>
  </w:num>
  <w:num w:numId="3" w16cid:durableId="144121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BE"/>
    <w:rsid w:val="001C6B08"/>
    <w:rsid w:val="00324B08"/>
    <w:rsid w:val="0034729A"/>
    <w:rsid w:val="00520A97"/>
    <w:rsid w:val="00522B76"/>
    <w:rsid w:val="005C6601"/>
    <w:rsid w:val="00685954"/>
    <w:rsid w:val="00753FB2"/>
    <w:rsid w:val="008E328E"/>
    <w:rsid w:val="00942746"/>
    <w:rsid w:val="00975E39"/>
    <w:rsid w:val="009A4EED"/>
    <w:rsid w:val="00A718AC"/>
    <w:rsid w:val="00B15EB3"/>
    <w:rsid w:val="00B32D0E"/>
    <w:rsid w:val="00BD7298"/>
    <w:rsid w:val="00D62EF7"/>
    <w:rsid w:val="00DF3EBE"/>
    <w:rsid w:val="00E8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B096"/>
  <w15:chartTrackingRefBased/>
  <w15:docId w15:val="{5388AF64-3F13-4671-984C-47D86422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DF3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7</cp:revision>
  <dcterms:created xsi:type="dcterms:W3CDTF">2023-11-09T15:42:00Z</dcterms:created>
  <dcterms:modified xsi:type="dcterms:W3CDTF">2023-11-14T12:31:00Z</dcterms:modified>
</cp:coreProperties>
</file>